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3DA79F2" w14:textId="77777777" w:rsidR="0064013D" w:rsidRPr="00925F83" w:rsidRDefault="00E07323" w:rsidP="00960372">
      <w:pPr>
        <w:pStyle w:val="a0"/>
        <w:jc w:val="center"/>
        <w:rPr>
          <w:b/>
        </w:rPr>
      </w:pPr>
      <w:r w:rsidRPr="00925F83">
        <w:rPr>
          <w:b/>
        </w:rPr>
        <w:t xml:space="preserve">Eurobonds – </w:t>
      </w:r>
      <w:r w:rsidR="00916D4F" w:rsidRPr="00925F83">
        <w:rPr>
          <w:b/>
        </w:rPr>
        <w:t>Key</w:t>
      </w:r>
      <w:r w:rsidRPr="00925F83">
        <w:rPr>
          <w:b/>
        </w:rPr>
        <w:t xml:space="preserve"> </w:t>
      </w:r>
      <w:r w:rsidR="00916D4F" w:rsidRPr="00925F83">
        <w:rPr>
          <w:b/>
        </w:rPr>
        <w:t xml:space="preserve">Considerations for </w:t>
      </w:r>
      <w:r w:rsidR="00D16A2B" w:rsidRPr="00925F83">
        <w:rPr>
          <w:b/>
        </w:rPr>
        <w:t>Russian</w:t>
      </w:r>
      <w:r w:rsidRPr="00925F83">
        <w:rPr>
          <w:b/>
        </w:rPr>
        <w:t xml:space="preserve"> Corporate </w:t>
      </w:r>
      <w:r w:rsidR="00916D4F" w:rsidRPr="00925F83">
        <w:rPr>
          <w:b/>
        </w:rPr>
        <w:t>Issuers</w:t>
      </w:r>
    </w:p>
    <w:p w14:paraId="6F84DC21" w14:textId="77777777" w:rsidR="00B61B60" w:rsidRPr="00925F83" w:rsidRDefault="00B61B60" w:rsidP="00D16A2B">
      <w:pPr>
        <w:pStyle w:val="a0"/>
        <w:rPr>
          <w:b/>
          <w:i/>
        </w:rPr>
      </w:pPr>
      <w:r w:rsidRPr="00925F83">
        <w:rPr>
          <w:b/>
          <w:i/>
        </w:rPr>
        <w:t>Introduction</w:t>
      </w:r>
    </w:p>
    <w:p w14:paraId="56FDC610" w14:textId="77777777" w:rsidR="00FF5DB0" w:rsidRPr="00925F83" w:rsidRDefault="0061556E" w:rsidP="00D16A2B">
      <w:pPr>
        <w:pStyle w:val="a0"/>
      </w:pPr>
      <w:r w:rsidRPr="00925F83">
        <w:t>Last year</w:t>
      </w:r>
      <w:r w:rsidR="001D79D5" w:rsidRPr="00925F83">
        <w:t xml:space="preserve"> </w:t>
      </w:r>
      <w:r w:rsidR="0086548F" w:rsidRPr="00925F83">
        <w:t xml:space="preserve">saw the revitalisation of the </w:t>
      </w:r>
      <w:r w:rsidR="00373983">
        <w:t xml:space="preserve">international debt capital markets for Russian issuers. In 2016 there were over 30 issues from Russia (more than in 2014 and 2015 combined). </w:t>
      </w:r>
      <w:r w:rsidR="00B14432">
        <w:t>While t</w:t>
      </w:r>
      <w:r w:rsidR="00373983">
        <w:t xml:space="preserve">he market is still not back to pre-sanctions levels, there has clearly been a resurgence of demand for Russian debt from international investors. </w:t>
      </w:r>
    </w:p>
    <w:p w14:paraId="60A43930" w14:textId="77777777" w:rsidR="00916D4F" w:rsidRPr="00925F83" w:rsidRDefault="00B14432" w:rsidP="00DD3471">
      <w:pPr>
        <w:pStyle w:val="a0"/>
      </w:pPr>
      <w:r>
        <w:t xml:space="preserve">As the centre of focus </w:t>
      </w:r>
      <w:r w:rsidR="00373983">
        <w:t xml:space="preserve">has been on </w:t>
      </w:r>
      <w:r w:rsidR="00C16E4F">
        <w:t xml:space="preserve">private </w:t>
      </w:r>
      <w:r w:rsidR="00373983">
        <w:t>corporates (as opposed to banks or sovereign related entities) we have highlighted below the key considerations in the context of Eurobond transactions for Russian corporate</w:t>
      </w:r>
      <w:r w:rsidR="00C16E4F">
        <w:t xml:space="preserve"> issuers (further referred to as "</w:t>
      </w:r>
      <w:r w:rsidR="00C16E4F" w:rsidRPr="00C16E4F">
        <w:rPr>
          <w:b/>
        </w:rPr>
        <w:t>companies</w:t>
      </w:r>
      <w:r w:rsidR="00C16E4F">
        <w:t>" or "</w:t>
      </w:r>
      <w:r w:rsidR="00C16E4F" w:rsidRPr="00C16E4F">
        <w:rPr>
          <w:b/>
        </w:rPr>
        <w:t>company</w:t>
      </w:r>
      <w:r w:rsidR="00C16E4F">
        <w:t>")</w:t>
      </w:r>
      <w:r w:rsidR="00373983">
        <w:t xml:space="preserve"> </w:t>
      </w:r>
      <w:r w:rsidR="00E84EE9">
        <w:t>in particular.</w:t>
      </w:r>
    </w:p>
    <w:p w14:paraId="1732DD6D" w14:textId="77777777" w:rsidR="00916D4F" w:rsidRPr="00925F83" w:rsidRDefault="00373983" w:rsidP="00916D4F">
      <w:pPr>
        <w:pStyle w:val="a0"/>
        <w:rPr>
          <w:b/>
          <w:i/>
        </w:rPr>
      </w:pPr>
      <w:r>
        <w:rPr>
          <w:b/>
          <w:i/>
        </w:rPr>
        <w:t>Why issue Eurobonds?</w:t>
      </w:r>
    </w:p>
    <w:p w14:paraId="15656329" w14:textId="77777777" w:rsidR="00567B34" w:rsidRPr="00925F83" w:rsidRDefault="00373983" w:rsidP="00567B34">
      <w:pPr>
        <w:pStyle w:val="a0"/>
      </w:pPr>
      <w:r>
        <w:t xml:space="preserve">Eurobonds are generally available to reputable </w:t>
      </w:r>
      <w:r w:rsidR="007A4BD0">
        <w:t>companies</w:t>
      </w:r>
      <w:r>
        <w:t xml:space="preserve"> that are able to satisfy listing criteria (see </w:t>
      </w:r>
      <w:r w:rsidR="00421A44">
        <w:t>"</w:t>
      </w:r>
      <w:r>
        <w:rPr>
          <w:i/>
        </w:rPr>
        <w:t>Listing</w:t>
      </w:r>
      <w:r w:rsidR="00421A44">
        <w:t>"</w:t>
      </w:r>
      <w:r>
        <w:rPr>
          <w:i/>
        </w:rPr>
        <w:t xml:space="preserve"> </w:t>
      </w:r>
      <w:r>
        <w:t xml:space="preserve">below). Eurobonds offer such </w:t>
      </w:r>
      <w:r w:rsidR="007A4BD0">
        <w:t>companies</w:t>
      </w:r>
      <w:r>
        <w:t xml:space="preserve"> an opportunity to diversify their funding base and to raise larger amounts of debt from a wide range of international investors, with a view to issuing at lower interest rates than typical bank loans. Except for certain categories of Eurobonds referred to as "high-yield" bonds, Eurobonds are more flexible instruments than bank loans in terms of amount, maturity, currency and interest rate options. In addition, Eurobonds can be used as a handy tool to create public credit history and raise </w:t>
      </w:r>
      <w:r w:rsidR="007A4BD0">
        <w:t>companies</w:t>
      </w:r>
      <w:r>
        <w:t xml:space="preserve">' profile, which may be particularly important for </w:t>
      </w:r>
      <w:r w:rsidR="007A4BD0">
        <w:t>companies</w:t>
      </w:r>
      <w:r>
        <w:t xml:space="preserve"> contemplating an equity offerin</w:t>
      </w:r>
      <w:r w:rsidR="00421A44">
        <w:t>g in the short to medium-term.</w:t>
      </w:r>
    </w:p>
    <w:p w14:paraId="6D99D716" w14:textId="77777777" w:rsidR="006B2910" w:rsidRPr="00925F83" w:rsidRDefault="00373983" w:rsidP="00916D4F">
      <w:pPr>
        <w:pStyle w:val="a0"/>
        <w:rPr>
          <w:b/>
          <w:i/>
        </w:rPr>
      </w:pPr>
      <w:r>
        <w:rPr>
          <w:b/>
          <w:i/>
        </w:rPr>
        <w:t>Eurobond structures</w:t>
      </w:r>
    </w:p>
    <w:p w14:paraId="41DD53DD" w14:textId="77777777" w:rsidR="00E556AF" w:rsidRPr="00925F83" w:rsidRDefault="00373983" w:rsidP="00916D4F">
      <w:pPr>
        <w:pStyle w:val="a0"/>
      </w:pPr>
      <w:r>
        <w:t xml:space="preserve">For tax and regulatory reasons, direct issues of </w:t>
      </w:r>
      <w:r w:rsidR="00660FDA">
        <w:t>notes</w:t>
      </w:r>
      <w:r>
        <w:t xml:space="preserve"> by Russian </w:t>
      </w:r>
      <w:r w:rsidR="00C16E4F">
        <w:t>companies</w:t>
      </w:r>
      <w:r>
        <w:t xml:space="preserve"> remain economically inefficient and time-consuming. As a result, two basic offshore structures have been developed in the market for Russian </w:t>
      </w:r>
      <w:r w:rsidR="00C16E4F">
        <w:t>companies</w:t>
      </w:r>
      <w:r>
        <w:t>, a guaranteed structure (the "</w:t>
      </w:r>
      <w:r>
        <w:rPr>
          <w:b/>
        </w:rPr>
        <w:t>Guaranteed Structure</w:t>
      </w:r>
      <w:r>
        <w:t>") and a loan participation note structure (the "</w:t>
      </w:r>
      <w:r>
        <w:rPr>
          <w:b/>
        </w:rPr>
        <w:t>LPN Structure</w:t>
      </w:r>
      <w:r>
        <w:t>").</w:t>
      </w:r>
    </w:p>
    <w:p w14:paraId="62E71C46" w14:textId="77777777" w:rsidR="00EC5506" w:rsidRPr="00925F83" w:rsidRDefault="00373983" w:rsidP="00EC5506">
      <w:pPr>
        <w:tabs>
          <w:tab w:val="left" w:pos="2307"/>
        </w:tabs>
        <w:rPr>
          <w:i/>
          <w:lang w:eastAsia="en-GB"/>
        </w:rPr>
      </w:pPr>
      <w:r>
        <w:rPr>
          <w:i/>
          <w:lang w:eastAsia="en-GB"/>
        </w:rPr>
        <w:t>Guaranteed Structure</w:t>
      </w:r>
    </w:p>
    <w:p w14:paraId="5734A536" w14:textId="77777777" w:rsidR="00EC5506" w:rsidRPr="00925F83" w:rsidRDefault="00373983" w:rsidP="00281446">
      <w:pPr>
        <w:pStyle w:val="a0"/>
      </w:pPr>
      <w:r>
        <w:t xml:space="preserve">The Guaranteed Structure is regularly used by Russian </w:t>
      </w:r>
      <w:r w:rsidR="00C16E4F">
        <w:t>companies</w:t>
      </w:r>
      <w:r>
        <w:t xml:space="preserve">, </w:t>
      </w:r>
      <w:r w:rsidR="00B14432">
        <w:t xml:space="preserve">regardless of </w:t>
      </w:r>
      <w:r>
        <w:t xml:space="preserve">whether the credit behind the issue is </w:t>
      </w:r>
      <w:r w:rsidR="00C16E4F">
        <w:t>a collection of companies within the group (the "</w:t>
      </w:r>
      <w:r w:rsidR="00C16E4F" w:rsidRPr="00C16E4F">
        <w:rPr>
          <w:b/>
        </w:rPr>
        <w:t>Group</w:t>
      </w:r>
      <w:r w:rsidR="00C16E4F">
        <w:t xml:space="preserve">") or </w:t>
      </w:r>
      <w:r>
        <w:t>a single guarantor</w:t>
      </w:r>
      <w:r w:rsidR="00C16E4F">
        <w:t>,</w:t>
      </w:r>
      <w:r>
        <w:t xml:space="preserve"> each a "</w:t>
      </w:r>
      <w:r w:rsidRPr="00B14432">
        <w:rPr>
          <w:b/>
        </w:rPr>
        <w:t>Guarantor</w:t>
      </w:r>
      <w:r w:rsidR="00C16E4F">
        <w:t>"</w:t>
      </w:r>
      <w:r>
        <w:t>. It involves an issuer, which can be either an orphan</w:t>
      </w:r>
      <w:r w:rsidR="00552E63">
        <w:t xml:space="preserve"> </w:t>
      </w:r>
      <w:r>
        <w:t xml:space="preserve">special purpose vehicle that is not related to the </w:t>
      </w:r>
      <w:r w:rsidR="00B14432">
        <w:t>g</w:t>
      </w:r>
      <w:r w:rsidR="00C16E4F">
        <w:t>roup (</w:t>
      </w:r>
      <w:r>
        <w:t>"</w:t>
      </w:r>
      <w:r w:rsidR="00B37BC5">
        <w:rPr>
          <w:b/>
        </w:rPr>
        <w:t>A</w:t>
      </w:r>
      <w:r>
        <w:t>") or, more frequently, a subsidiary of the group located in a tax-friendly jurisdiction such as Ireland or the Netherlands</w:t>
      </w:r>
      <w:r w:rsidR="00C16E4F">
        <w:t xml:space="preserve"> (the "</w:t>
      </w:r>
      <w:r w:rsidR="00C16E4F" w:rsidRPr="00C16E4F">
        <w:rPr>
          <w:b/>
        </w:rPr>
        <w:t>Subsidiary Issuer</w:t>
      </w:r>
      <w:r w:rsidR="00C16E4F">
        <w:t xml:space="preserve">", and together with </w:t>
      </w:r>
      <w:r w:rsidR="00B37BC5">
        <w:t>A</w:t>
      </w:r>
      <w:r w:rsidR="00C16E4F">
        <w:t>, the "</w:t>
      </w:r>
      <w:r w:rsidR="00C16E4F" w:rsidRPr="00C16E4F">
        <w:rPr>
          <w:b/>
        </w:rPr>
        <w:t>Issuers</w:t>
      </w:r>
      <w:r w:rsidR="00C16E4F">
        <w:t>"</w:t>
      </w:r>
      <w:r w:rsidR="002141DA">
        <w:t>, and the "</w:t>
      </w:r>
      <w:r w:rsidR="002141DA" w:rsidRPr="002141DA">
        <w:rPr>
          <w:b/>
        </w:rPr>
        <w:t>Issuer</w:t>
      </w:r>
      <w:r w:rsidR="002141DA">
        <w:t>" means any of them</w:t>
      </w:r>
      <w:r w:rsidR="00C16E4F">
        <w:t>)</w:t>
      </w:r>
      <w:r>
        <w:t xml:space="preserve">. The </w:t>
      </w:r>
      <w:r w:rsidR="00C16E4F">
        <w:t>I</w:t>
      </w:r>
      <w:r w:rsidR="002141DA">
        <w:t>ssuer</w:t>
      </w:r>
      <w:r>
        <w:t xml:space="preserve"> issue</w:t>
      </w:r>
      <w:r w:rsidR="002141DA">
        <w:t>s</w:t>
      </w:r>
      <w:r>
        <w:t xml:space="preserve"> notes to investors, which are guaranteed by </w:t>
      </w:r>
      <w:r w:rsidR="00B14432">
        <w:t>Guarantor</w:t>
      </w:r>
      <w:r w:rsidR="00810A8B">
        <w:t>(s)</w:t>
      </w:r>
      <w:r>
        <w:t>. The investors have the benefit of each guarantee and, therefore, focus on the credit support offered by the Guarantor</w:t>
      </w:r>
      <w:r w:rsidR="00B14432">
        <w:t>(s)</w:t>
      </w:r>
      <w:r>
        <w:t xml:space="preserve">. </w:t>
      </w:r>
      <w:r w:rsidR="00810A8B">
        <w:t xml:space="preserve">As part of </w:t>
      </w:r>
      <w:r w:rsidR="00660FDA">
        <w:t>the Guaranteed Structure</w:t>
      </w:r>
      <w:r w:rsidR="00B14432">
        <w:t xml:space="preserve"> t</w:t>
      </w:r>
      <w:r w:rsidR="00810A8B">
        <w:t>he flow of funds between the I</w:t>
      </w:r>
      <w:r>
        <w:t>ssuer</w:t>
      </w:r>
      <w:r w:rsidR="00810A8B">
        <w:t xml:space="preserve"> and the G</w:t>
      </w:r>
      <w:r>
        <w:t>roup is not documented.</w:t>
      </w:r>
    </w:p>
    <w:p w14:paraId="19B2E528" w14:textId="77777777" w:rsidR="000B0AE2" w:rsidRPr="00925F83" w:rsidRDefault="00373983" w:rsidP="00EC5506">
      <w:pPr>
        <w:pStyle w:val="a0"/>
      </w:pPr>
      <w:r>
        <w:t>The diagram below sets out an example of a conventional Guaranteed Structure:</w:t>
      </w:r>
    </w:p>
    <w:p w14:paraId="7F0DEF84" w14:textId="77777777" w:rsidR="00B14432" w:rsidRDefault="00B14432">
      <w:pPr>
        <w:spacing w:after="0"/>
        <w:jc w:val="left"/>
        <w:rPr>
          <w:lang w:eastAsia="en-GB"/>
        </w:rPr>
      </w:pPr>
      <w:r>
        <w:br w:type="page"/>
      </w:r>
    </w:p>
    <w:p w14:paraId="54AA9FCD" w14:textId="77777777" w:rsidR="00EC5506" w:rsidRPr="00925F83" w:rsidRDefault="008A7E4E" w:rsidP="00EC5506">
      <w:pPr>
        <w:tabs>
          <w:tab w:val="left" w:pos="2307"/>
        </w:tabs>
        <w:rPr>
          <w:b/>
          <w:lang w:eastAsia="en-GB"/>
        </w:rPr>
      </w:pPr>
      <w:r>
        <w:rPr>
          <w:b/>
          <w:noProof/>
          <w:lang w:val="ru-RU" w:eastAsia="ru-RU" w:bidi="ar-SA"/>
        </w:rPr>
        <w:lastRenderedPageBreak/>
        <w:pict w14:anchorId="4CC0A9F2">
          <v:group id="_x0000_s1049" style="position:absolute;left:0;text-align:left;margin-left:.55pt;margin-top:5.6pt;width:483.7pt;height:131pt;z-index:251731968" coordorigin="1451,1552" coordsize="9674,2620">
            <v:rect id="_x0000_s1050" style="position:absolute;left:5319;top:1552;width:1675;height:516;v-text-anchor:middle" strokecolor="white [3212]">
              <v:textbox>
                <w:txbxContent>
                  <w:p w14:paraId="36A21CB3" w14:textId="77777777" w:rsidR="00CD4EB1" w:rsidRPr="00D07034" w:rsidRDefault="00CD4EB1" w:rsidP="00AE7A27">
                    <w:pPr>
                      <w:jc w:val="center"/>
                      <w:rPr>
                        <w:sz w:val="20"/>
                        <w:szCs w:val="20"/>
                      </w:rPr>
                    </w:pPr>
                    <w:r>
                      <w:rPr>
                        <w:sz w:val="20"/>
                        <w:szCs w:val="20"/>
                      </w:rPr>
                      <w:t>Guarantee</w:t>
                    </w:r>
                    <w:r w:rsidR="004C6206">
                      <w:rPr>
                        <w:sz w:val="20"/>
                        <w:szCs w:val="20"/>
                      </w:rPr>
                      <w:t>(s)</w:t>
                    </w:r>
                  </w:p>
                </w:txbxContent>
              </v:textbox>
            </v:rect>
            <v:rect id="_x0000_s1051" style="position:absolute;left:7257;top:2420;width:2007;height:876;v-text-anchor:middle" strokecolor="white [3212]">
              <v:textbox>
                <w:txbxContent>
                  <w:p w14:paraId="54332CE6" w14:textId="77777777" w:rsidR="00CD4EB1" w:rsidRPr="00D07034" w:rsidRDefault="00CD4EB1" w:rsidP="00EC5506">
                    <w:pPr>
                      <w:jc w:val="center"/>
                      <w:rPr>
                        <w:sz w:val="20"/>
                        <w:szCs w:val="20"/>
                      </w:rPr>
                    </w:pPr>
                    <w:r>
                      <w:rPr>
                        <w:sz w:val="20"/>
                        <w:szCs w:val="20"/>
                      </w:rPr>
                      <w:t>Intercompany distribution of note proceeds</w:t>
                    </w:r>
                  </w:p>
                </w:txbxContent>
              </v:textbox>
            </v:rect>
            <v:rect id="_x0000_s1052" style="position:absolute;left:3572;top:3040;width:1675;height:516;v-text-anchor:middle" strokecolor="white [3212]">
              <v:textbox>
                <w:txbxContent>
                  <w:p w14:paraId="37DF5A2B" w14:textId="77777777" w:rsidR="00CD4EB1" w:rsidRPr="00D07034" w:rsidRDefault="00CD4EB1" w:rsidP="00EC5506">
                    <w:pPr>
                      <w:jc w:val="center"/>
                      <w:rPr>
                        <w:sz w:val="20"/>
                        <w:szCs w:val="20"/>
                      </w:rPr>
                    </w:pPr>
                    <w:r>
                      <w:rPr>
                        <w:sz w:val="20"/>
                        <w:szCs w:val="20"/>
                      </w:rPr>
                      <w:t>Notes</w:t>
                    </w:r>
                  </w:p>
                </w:txbxContent>
              </v:textbox>
            </v:rect>
            <v:rect id="_x0000_s1053" style="position:absolute;left:3546;top:2179;width:1675;height:762;v-text-anchor:middle" strokecolor="white [3212]">
              <v:textbox>
                <w:txbxContent>
                  <w:p w14:paraId="35E7A280" w14:textId="77777777" w:rsidR="00CD4EB1" w:rsidRPr="00D07034" w:rsidRDefault="00CD4EB1" w:rsidP="00EC5506">
                    <w:pPr>
                      <w:jc w:val="center"/>
                      <w:rPr>
                        <w:sz w:val="20"/>
                        <w:szCs w:val="20"/>
                      </w:rPr>
                    </w:pPr>
                    <w:r>
                      <w:rPr>
                        <w:sz w:val="20"/>
                        <w:szCs w:val="20"/>
                      </w:rPr>
                      <w:t>Principal + interest on Notes</w:t>
                    </w:r>
                  </w:p>
                </w:txbxContent>
              </v:textbox>
            </v:rect>
            <v:rect id="_x0000_s1054" style="position:absolute;left:3556;top:3656;width:1675;height:516;v-text-anchor:middle" strokecolor="white [3212]">
              <v:textbox>
                <w:txbxContent>
                  <w:p w14:paraId="68C9E7C5" w14:textId="77777777" w:rsidR="00CD4EB1" w:rsidRPr="00D07034" w:rsidRDefault="00CD4EB1" w:rsidP="00EC5506">
                    <w:pPr>
                      <w:jc w:val="center"/>
                      <w:rPr>
                        <w:sz w:val="20"/>
                        <w:szCs w:val="20"/>
                      </w:rPr>
                    </w:pPr>
                    <w:r w:rsidRPr="00D07034">
                      <w:rPr>
                        <w:sz w:val="20"/>
                        <w:szCs w:val="20"/>
                      </w:rPr>
                      <w:t>Note proceeds</w:t>
                    </w:r>
                  </w:p>
                </w:txbxContent>
              </v:textbox>
            </v:rect>
            <v:rect id="_x0000_s1055" style="position:absolute;left:1451;top:2510;width:1938;height:1412;v-text-anchor:middle">
              <v:textbox>
                <w:txbxContent>
                  <w:p w14:paraId="74AED24D" w14:textId="77777777" w:rsidR="00CD4EB1" w:rsidRDefault="00CD4EB1" w:rsidP="00EC5506">
                    <w:pPr>
                      <w:jc w:val="center"/>
                    </w:pPr>
                    <w:proofErr w:type="spellStart"/>
                    <w:r>
                      <w:t>Noteholders</w:t>
                    </w:r>
                    <w:proofErr w:type="spellEnd"/>
                  </w:p>
                </w:txbxContent>
              </v:textbox>
            </v:rect>
            <v:rect id="_x0000_s1056" style="position:absolute;left:5319;top:2510;width:1938;height:1412;v-text-anchor:middle">
              <v:textbox>
                <w:txbxContent>
                  <w:p w14:paraId="726503ED" w14:textId="77777777" w:rsidR="00CD4EB1" w:rsidRDefault="00CD4EB1" w:rsidP="00EC5506">
                    <w:pPr>
                      <w:jc w:val="center"/>
                    </w:pPr>
                    <w:r>
                      <w:t>Issuer</w:t>
                    </w:r>
                    <w:r w:rsidR="00810A8B">
                      <w:br/>
                      <w:t>(</w:t>
                    </w:r>
                    <w:r w:rsidR="00B37BC5">
                      <w:t>A</w:t>
                    </w:r>
                    <w:r w:rsidR="00810A8B">
                      <w:t xml:space="preserve"> or Subsidiary Issuer)</w:t>
                    </w:r>
                  </w:p>
                </w:txbxContent>
              </v:textbox>
            </v:rect>
            <v:shapetype id="_x0000_t32" coordsize="21600,21600" o:spt="32" o:oned="t" path="m0,0l21600,21600e" filled="f">
              <v:path arrowok="t" fillok="f" o:connecttype="none"/>
              <o:lock v:ext="edit" shapetype="t"/>
            </v:shapetype>
            <v:shape id="_x0000_s1057" type="#_x0000_t32" style="position:absolute;left:3389;top:3674;width:1930;height:0;v-text-anchor:middle" o:connectortype="straight">
              <v:stroke endarrow="block"/>
            </v:shape>
            <v:shape id="_x0000_s1058" type="#_x0000_t32" style="position:absolute;left:3389;top:2797;width:1930;height:0;v-text-anchor:middle" o:connectortype="straight">
              <v:stroke startarrow="block"/>
            </v:shape>
            <v:shape id="_x0000_s1059" type="#_x0000_t32" style="position:absolute;left:3376;top:3075;width:1930;height:0;v-text-anchor:middle" o:connectortype="straight">
              <v:stroke startarrow="block"/>
            </v:shape>
            <v:shape id="_x0000_s1060" type="#_x0000_t32" style="position:absolute;left:7257;top:3232;width:1930;height:0;v-text-anchor:middle" o:connectortype="straight">
              <v:stroke dashstyle="longDash" endarrow="block"/>
            </v:shape>
            <v:rect id="_x0000_s1061" style="position:absolute;left:9187;top:2510;width:1938;height:1412;v-text-anchor:middle">
              <v:textbox style="mso-next-textbox:#_x0000_s1061">
                <w:txbxContent>
                  <w:p w14:paraId="4C41DF7C" w14:textId="77777777" w:rsidR="00CD4EB1" w:rsidRDefault="00CD4EB1" w:rsidP="00EC5506">
                    <w:pPr>
                      <w:jc w:val="center"/>
                    </w:pPr>
                    <w:r>
                      <w:t>Parent /</w:t>
                    </w:r>
                    <w:r w:rsidR="00421A44">
                      <w:t xml:space="preserve"> </w:t>
                    </w:r>
                    <w:r>
                      <w:t>Material Subsidiaries</w:t>
                    </w:r>
                    <w:r w:rsidR="00810A8B">
                      <w:t xml:space="preserve"> of the Group</w:t>
                    </w:r>
                  </w:p>
                </w:txbxContent>
              </v:textbox>
            </v:rect>
            <v:shape id="_x0000_s1062" type="#_x0000_t32" style="position:absolute;left:10186;top:1916;width:0;height:596;v-text-anchor:middle" o:connectortype="straight"/>
            <v:shape id="_x0000_s1063" type="#_x0000_t32" style="position:absolute;left:2375;top:1914;width:0;height:596;v-text-anchor:middle" o:connectortype="straight">
              <v:stroke endarrow="block"/>
            </v:shape>
            <v:shape id="_x0000_s1064" type="#_x0000_t32" style="position:absolute;left:2375;top:1914;width:7811;height:0;v-text-anchor:middle" o:connectortype="straight"/>
          </v:group>
        </w:pict>
      </w:r>
    </w:p>
    <w:p w14:paraId="30C15743" w14:textId="77777777" w:rsidR="00EC5506" w:rsidRPr="00925F83" w:rsidRDefault="00EC5506" w:rsidP="00EC5506">
      <w:pPr>
        <w:tabs>
          <w:tab w:val="left" w:pos="2307"/>
        </w:tabs>
        <w:rPr>
          <w:b/>
          <w:lang w:eastAsia="en-GB"/>
        </w:rPr>
      </w:pPr>
    </w:p>
    <w:p w14:paraId="043D6C60" w14:textId="77777777" w:rsidR="000B0AE2" w:rsidRPr="00925F83" w:rsidRDefault="000B0AE2" w:rsidP="00EC5506">
      <w:pPr>
        <w:tabs>
          <w:tab w:val="left" w:pos="2307"/>
        </w:tabs>
        <w:rPr>
          <w:b/>
          <w:lang w:eastAsia="en-GB"/>
        </w:rPr>
      </w:pPr>
    </w:p>
    <w:p w14:paraId="437359D8" w14:textId="77777777" w:rsidR="000B0AE2" w:rsidRPr="00925F83" w:rsidRDefault="000B0AE2" w:rsidP="00EC5506">
      <w:pPr>
        <w:tabs>
          <w:tab w:val="left" w:pos="2307"/>
        </w:tabs>
        <w:rPr>
          <w:b/>
          <w:lang w:eastAsia="en-GB"/>
        </w:rPr>
      </w:pPr>
    </w:p>
    <w:p w14:paraId="3B4A8B6F" w14:textId="77777777" w:rsidR="000B0AE2" w:rsidRPr="00925F83" w:rsidRDefault="000B0AE2" w:rsidP="00EC5506">
      <w:pPr>
        <w:tabs>
          <w:tab w:val="left" w:pos="2307"/>
        </w:tabs>
        <w:rPr>
          <w:b/>
          <w:lang w:eastAsia="en-GB"/>
        </w:rPr>
      </w:pPr>
    </w:p>
    <w:p w14:paraId="35D4049B" w14:textId="77777777" w:rsidR="00B14432" w:rsidRDefault="00B14432" w:rsidP="00B14432">
      <w:pPr>
        <w:pStyle w:val="a0"/>
        <w:spacing w:after="120"/>
        <w:rPr>
          <w:i/>
        </w:rPr>
      </w:pPr>
    </w:p>
    <w:p w14:paraId="21C17BA3" w14:textId="77777777" w:rsidR="00E556AF" w:rsidRPr="00925F83" w:rsidRDefault="00373983" w:rsidP="00916D4F">
      <w:pPr>
        <w:pStyle w:val="a0"/>
        <w:rPr>
          <w:i/>
        </w:rPr>
      </w:pPr>
      <w:r>
        <w:rPr>
          <w:i/>
        </w:rPr>
        <w:t>LPN Structure</w:t>
      </w:r>
    </w:p>
    <w:p w14:paraId="16B0E114" w14:textId="77777777" w:rsidR="004153F4" w:rsidRPr="00925F83" w:rsidRDefault="00373983" w:rsidP="00E556AF">
      <w:pPr>
        <w:pStyle w:val="a0"/>
      </w:pPr>
      <w:r>
        <w:t xml:space="preserve">The LPN Structure involves </w:t>
      </w:r>
      <w:proofErr w:type="gramStart"/>
      <w:r w:rsidR="00B37BC5">
        <w:t>A</w:t>
      </w:r>
      <w:proofErr w:type="gramEnd"/>
      <w:r>
        <w:t xml:space="preserve"> located in a tax friendly jurisdiction (commonly Ireland or the Netherlands), issuing notes to investors. </w:t>
      </w:r>
      <w:r w:rsidR="00B37BC5">
        <w:t>A</w:t>
      </w:r>
      <w:r>
        <w:t xml:space="preserve"> then lends the proceeds of the offer of the notes by advancing a loan to the Russian </w:t>
      </w:r>
      <w:r w:rsidR="00660FDA">
        <w:t>company in its capacity as borrower</w:t>
      </w:r>
      <w:r>
        <w:t xml:space="preserve"> (the "</w:t>
      </w:r>
      <w:r>
        <w:rPr>
          <w:b/>
        </w:rPr>
        <w:t>Borrower</w:t>
      </w:r>
      <w:r>
        <w:t xml:space="preserve">"). The loan is the contractual nexus to the </w:t>
      </w:r>
      <w:r w:rsidR="00B14432">
        <w:t>B</w:t>
      </w:r>
      <w:r>
        <w:t xml:space="preserve">orrower, so this contains the pertinent enforcement triggers (such as the covenants, payment obligations and the events of default). </w:t>
      </w:r>
    </w:p>
    <w:p w14:paraId="1AB76CF9" w14:textId="77777777" w:rsidR="004153F4" w:rsidRPr="00925F83" w:rsidRDefault="0063361B" w:rsidP="00E556AF">
      <w:pPr>
        <w:pStyle w:val="a0"/>
      </w:pPr>
      <w:r>
        <w:t>Buying the n</w:t>
      </w:r>
      <w:r w:rsidR="00373983">
        <w:t xml:space="preserve">otes from </w:t>
      </w:r>
      <w:r w:rsidR="00B37BC5">
        <w:t>A</w:t>
      </w:r>
      <w:r w:rsidR="004C6206">
        <w:t xml:space="preserve">, </w:t>
      </w:r>
      <w:r w:rsidR="00660FDA">
        <w:t>investors</w:t>
      </w:r>
      <w:r w:rsidR="00373983">
        <w:t xml:space="preserve"> effectively buy a participation in the loan advanced to the Borrower. The payment obligations under the notes mirror the corresponding payments under the loan, so when </w:t>
      </w:r>
      <w:r w:rsidR="00B37BC5">
        <w:t>A</w:t>
      </w:r>
      <w:r w:rsidR="00373983">
        <w:t xml:space="preserve"> has an obligation to pay under the notes i</w:t>
      </w:r>
      <w:r w:rsidR="00B14432">
        <w:t>t</w:t>
      </w:r>
      <w:r w:rsidR="00373983">
        <w:t xml:space="preserve"> should already have received the corresponding amount from the Borrower under the loan. This enables the notes to be issue</w:t>
      </w:r>
      <w:r w:rsidR="004C6206">
        <w:t xml:space="preserve">d on a 'limited recourse' </w:t>
      </w:r>
      <w:r w:rsidR="0004533F">
        <w:t>basis;</w:t>
      </w:r>
      <w:r w:rsidR="00373983">
        <w:t xml:space="preserve"> </w:t>
      </w:r>
      <w:proofErr w:type="spellStart"/>
      <w:r w:rsidR="00373983">
        <w:t>i.e</w:t>
      </w:r>
      <w:proofErr w:type="spellEnd"/>
      <w:r w:rsidR="00373983">
        <w:t xml:space="preserve"> </w:t>
      </w:r>
      <w:r w:rsidR="00B37BC5">
        <w:t>A</w:t>
      </w:r>
      <w:r w:rsidR="00373983">
        <w:t xml:space="preserve"> is only liable to make payment to the extent that it has received payment under the loan. </w:t>
      </w:r>
    </w:p>
    <w:p w14:paraId="09DC427C" w14:textId="77777777" w:rsidR="004153F4" w:rsidRPr="00925F83" w:rsidRDefault="00373983" w:rsidP="00E556AF">
      <w:pPr>
        <w:pStyle w:val="a0"/>
      </w:pPr>
      <w:r>
        <w:t xml:space="preserve">This structure requires a </w:t>
      </w:r>
      <w:r w:rsidR="00B14432">
        <w:t>t</w:t>
      </w:r>
      <w:r>
        <w:t xml:space="preserve">rustee to represent the interests of the </w:t>
      </w:r>
      <w:proofErr w:type="spellStart"/>
      <w:r w:rsidR="004C6206">
        <w:t>noteholders</w:t>
      </w:r>
      <w:proofErr w:type="spellEnd"/>
      <w:r>
        <w:t xml:space="preserve">. </w:t>
      </w:r>
      <w:r w:rsidR="00B37BC5">
        <w:t>A</w:t>
      </w:r>
      <w:r>
        <w:t xml:space="preserve"> assigns its rights as lender under the loan to the </w:t>
      </w:r>
      <w:r w:rsidR="00B14432">
        <w:t>t</w:t>
      </w:r>
      <w:r>
        <w:t xml:space="preserve">rustee. In the event that there is a failure by the Borrower to </w:t>
      </w:r>
      <w:r w:rsidR="00660FDA">
        <w:t>meet</w:t>
      </w:r>
      <w:r>
        <w:t xml:space="preserve"> any of its obligations under the loan, then the </w:t>
      </w:r>
      <w:r w:rsidR="00B14432">
        <w:t>t</w:t>
      </w:r>
      <w:r>
        <w:t xml:space="preserve">rustee is able to step in (on behalf of the </w:t>
      </w:r>
      <w:proofErr w:type="spellStart"/>
      <w:r w:rsidR="004C6206">
        <w:t>noteholders</w:t>
      </w:r>
      <w:proofErr w:type="spellEnd"/>
      <w:r>
        <w:t xml:space="preserve">) and enforce the loan as if it were the lender. </w:t>
      </w:r>
    </w:p>
    <w:p w14:paraId="61EF4119" w14:textId="77777777" w:rsidR="0008458E" w:rsidRPr="00925F83" w:rsidRDefault="00373983" w:rsidP="00E556AF">
      <w:pPr>
        <w:pStyle w:val="a0"/>
      </w:pPr>
      <w:r>
        <w:t xml:space="preserve">In order to further reduce the risk of having </w:t>
      </w:r>
      <w:r w:rsidR="00B37BC5">
        <w:t>A</w:t>
      </w:r>
      <w:r>
        <w:t xml:space="preserve"> in the middle of the </w:t>
      </w:r>
      <w:r w:rsidR="00660FDA">
        <w:t>LPN S</w:t>
      </w:r>
      <w:r>
        <w:t xml:space="preserve">tructure the Borrower is obliged to repay the loan into a specified account, which is then charged in favour of the </w:t>
      </w:r>
      <w:r w:rsidR="00B14432">
        <w:t>t</w:t>
      </w:r>
      <w:r>
        <w:t xml:space="preserve">rustee (on behalf of the </w:t>
      </w:r>
      <w:proofErr w:type="spellStart"/>
      <w:r>
        <w:t>noteholders</w:t>
      </w:r>
      <w:proofErr w:type="spellEnd"/>
      <w:r>
        <w:t xml:space="preserve">). In this way, any payments under the loan must be made to a specific account from which funds may only be paid out to the </w:t>
      </w:r>
      <w:proofErr w:type="spellStart"/>
      <w:r>
        <w:t>noteholders</w:t>
      </w:r>
      <w:proofErr w:type="spellEnd"/>
      <w:r>
        <w:t xml:space="preserve">. </w:t>
      </w:r>
    </w:p>
    <w:p w14:paraId="32A142CF" w14:textId="77777777" w:rsidR="004D2757" w:rsidRPr="00925F83" w:rsidRDefault="00373983" w:rsidP="00E556AF">
      <w:pPr>
        <w:pStyle w:val="a0"/>
      </w:pPr>
      <w:r>
        <w:t>If the Borrower needs further credit support, then it is possible to add guarantor</w:t>
      </w:r>
      <w:r w:rsidR="00660FDA">
        <w:t>(s)</w:t>
      </w:r>
      <w:r>
        <w:t xml:space="preserve"> to the structure. In this case the guarantee would be of the obligations </w:t>
      </w:r>
      <w:r w:rsidR="004C6206">
        <w:t xml:space="preserve">of the Borrower </w:t>
      </w:r>
      <w:r>
        <w:t xml:space="preserve">under the loan. </w:t>
      </w:r>
    </w:p>
    <w:p w14:paraId="6F8CDA29" w14:textId="77777777" w:rsidR="0064641F" w:rsidRPr="00925F83" w:rsidRDefault="00373983" w:rsidP="00E556AF">
      <w:pPr>
        <w:pStyle w:val="a0"/>
      </w:pPr>
      <w:r>
        <w:t>The diagram below sets out an example of a conventional LPN Structure:</w:t>
      </w:r>
    </w:p>
    <w:p w14:paraId="099A445E" w14:textId="77777777" w:rsidR="00CD4EB1" w:rsidRDefault="00CD4EB1">
      <w:pPr>
        <w:spacing w:after="0"/>
        <w:jc w:val="left"/>
        <w:rPr>
          <w:b/>
          <w:i/>
          <w:lang w:eastAsia="en-GB"/>
        </w:rPr>
      </w:pPr>
      <w:r>
        <w:rPr>
          <w:b/>
          <w:i/>
        </w:rPr>
        <w:br w:type="page"/>
      </w:r>
    </w:p>
    <w:p w14:paraId="7E3D8C28" w14:textId="77777777" w:rsidR="00693F4A" w:rsidRPr="00925F83" w:rsidRDefault="008A7E4E" w:rsidP="00916D4F">
      <w:pPr>
        <w:pStyle w:val="a0"/>
        <w:rPr>
          <w:b/>
          <w:i/>
        </w:rPr>
      </w:pPr>
      <w:r>
        <w:rPr>
          <w:b/>
          <w:noProof/>
          <w:lang w:val="ru-RU" w:eastAsia="ru-RU" w:bidi="ar-SA"/>
        </w:rPr>
        <w:lastRenderedPageBreak/>
        <w:pict w14:anchorId="164476FE">
          <v:group id="_x0000_s1026" style="position:absolute;left:0;text-align:left;margin-left:.55pt;margin-top:17.7pt;width:453.1pt;height:209.75pt;z-index:251704319" coordorigin="1451,1794" coordsize="9062,4195">
            <v:rect id="_x0000_s1027" style="position:absolute;left:4720;top:4449;width:1767;height:516;v-text-anchor:middle" strokecolor="white [3212]">
              <v:textbox style="mso-next-textbox:#_x0000_s1027">
                <w:txbxContent>
                  <w:p w14:paraId="02460345" w14:textId="77777777" w:rsidR="00CD4EB1" w:rsidRPr="00D07034" w:rsidRDefault="00CD4EB1" w:rsidP="006F4685">
                    <w:pPr>
                      <w:jc w:val="center"/>
                      <w:rPr>
                        <w:sz w:val="20"/>
                        <w:szCs w:val="20"/>
                      </w:rPr>
                    </w:pPr>
                    <w:r>
                      <w:rPr>
                        <w:sz w:val="20"/>
                        <w:szCs w:val="20"/>
                      </w:rPr>
                      <w:t>Security interests</w:t>
                    </w:r>
                  </w:p>
                </w:txbxContent>
              </v:textbox>
            </v:rect>
            <v:rect id="_x0000_s1028" style="position:absolute;left:7964;top:3660;width:1569;height:516;v-text-anchor:middle" strokecolor="white [3212]">
              <v:textbox style="mso-next-textbox:#_x0000_s1028">
                <w:txbxContent>
                  <w:p w14:paraId="14B87CD6" w14:textId="77777777" w:rsidR="00CD4EB1" w:rsidRPr="00D07034" w:rsidRDefault="00CD4EB1" w:rsidP="004C65C1">
                    <w:pPr>
                      <w:jc w:val="center"/>
                      <w:rPr>
                        <w:sz w:val="20"/>
                        <w:szCs w:val="20"/>
                      </w:rPr>
                    </w:pPr>
                    <w:r>
                      <w:rPr>
                        <w:sz w:val="20"/>
                        <w:szCs w:val="20"/>
                      </w:rPr>
                      <w:t>Guarantee(s)</w:t>
                    </w:r>
                  </w:p>
                </w:txbxContent>
              </v:textbox>
            </v:rect>
            <v:rect id="_x0000_s1029" style="position:absolute;left:6977;top:1805;width:1721;height:762;v-text-anchor:middle" strokecolor="white [3212]">
              <v:textbox style="mso-next-textbox:#_x0000_s1029">
                <w:txbxContent>
                  <w:p w14:paraId="1DD94D8D" w14:textId="77777777" w:rsidR="00CD4EB1" w:rsidRPr="00D07034" w:rsidRDefault="00CD4EB1" w:rsidP="0063198D">
                    <w:pPr>
                      <w:jc w:val="center"/>
                      <w:rPr>
                        <w:sz w:val="20"/>
                        <w:szCs w:val="20"/>
                      </w:rPr>
                    </w:pPr>
                    <w:r>
                      <w:rPr>
                        <w:sz w:val="20"/>
                        <w:szCs w:val="20"/>
                      </w:rPr>
                      <w:t>Principal + interest on Loan</w:t>
                    </w:r>
                  </w:p>
                </w:txbxContent>
              </v:textbox>
            </v:rect>
            <v:rect id="_x0000_s1030" style="position:absolute;left:6977;top:3244;width:1568;height:516;v-text-anchor:middle" strokecolor="white [3212]">
              <v:textbox style="mso-next-textbox:#_x0000_s1030">
                <w:txbxContent>
                  <w:p w14:paraId="4D46135A" w14:textId="77777777" w:rsidR="00CD4EB1" w:rsidRPr="00D07034" w:rsidRDefault="00CD4EB1" w:rsidP="0063198D">
                    <w:pPr>
                      <w:jc w:val="center"/>
                      <w:rPr>
                        <w:sz w:val="20"/>
                        <w:szCs w:val="20"/>
                      </w:rPr>
                    </w:pPr>
                    <w:r>
                      <w:rPr>
                        <w:sz w:val="20"/>
                        <w:szCs w:val="20"/>
                      </w:rPr>
                      <w:t>Loan</w:t>
                    </w:r>
                  </w:p>
                </w:txbxContent>
              </v:textbox>
            </v:rect>
            <v:rect id="_x0000_s1031" style="position:absolute;left:3440;top:2628;width:1569;height:516;v-text-anchor:middle" strokecolor="white [3212]">
              <v:textbox style="mso-next-textbox:#_x0000_s1031">
                <w:txbxContent>
                  <w:p w14:paraId="73C72851" w14:textId="77777777" w:rsidR="00CD4EB1" w:rsidRPr="00D07034" w:rsidRDefault="00CD4EB1" w:rsidP="00D07034">
                    <w:pPr>
                      <w:jc w:val="center"/>
                      <w:rPr>
                        <w:sz w:val="20"/>
                        <w:szCs w:val="20"/>
                      </w:rPr>
                    </w:pPr>
                    <w:r>
                      <w:rPr>
                        <w:sz w:val="20"/>
                        <w:szCs w:val="20"/>
                      </w:rPr>
                      <w:t>Notes</w:t>
                    </w:r>
                  </w:p>
                </w:txbxContent>
              </v:textbox>
            </v:rect>
            <v:rect id="_x0000_s1032" style="position:absolute;left:3347;top:1794;width:1715;height:762;v-text-anchor:middle" strokecolor="white [3212]">
              <v:textbox style="mso-next-textbox:#_x0000_s1032">
                <w:txbxContent>
                  <w:p w14:paraId="7248C04F" w14:textId="77777777" w:rsidR="00CD4EB1" w:rsidRPr="00D07034" w:rsidRDefault="00CD4EB1" w:rsidP="00D07034">
                    <w:pPr>
                      <w:jc w:val="center"/>
                      <w:rPr>
                        <w:sz w:val="20"/>
                        <w:szCs w:val="20"/>
                      </w:rPr>
                    </w:pPr>
                    <w:r>
                      <w:rPr>
                        <w:sz w:val="20"/>
                        <w:szCs w:val="20"/>
                      </w:rPr>
                      <w:t>Principal + interest on Notes</w:t>
                    </w:r>
                  </w:p>
                </w:txbxContent>
              </v:textbox>
            </v:rect>
            <v:rect id="_x0000_s1033" style="position:absolute;left:3425;top:3244;width:1569;height:516;v-text-anchor:middle" strokecolor="white [3212]">
              <v:textbox style="mso-next-textbox:#_x0000_s1033">
                <w:txbxContent>
                  <w:p w14:paraId="4FA7BDFA" w14:textId="77777777" w:rsidR="00CD4EB1" w:rsidRPr="00D07034" w:rsidRDefault="00CD4EB1" w:rsidP="00D07034">
                    <w:pPr>
                      <w:jc w:val="center"/>
                      <w:rPr>
                        <w:sz w:val="20"/>
                        <w:szCs w:val="20"/>
                      </w:rPr>
                    </w:pPr>
                    <w:r w:rsidRPr="00D07034">
                      <w:rPr>
                        <w:sz w:val="20"/>
                        <w:szCs w:val="20"/>
                      </w:rPr>
                      <w:t>Note proceeds</w:t>
                    </w:r>
                  </w:p>
                </w:txbxContent>
              </v:textbox>
            </v:rect>
            <v:rect id="_x0000_s1034" style="position:absolute;left:1454;top:2098;width:1815;height:1412;v-text-anchor:middle">
              <v:textbox style="mso-next-textbox:#_x0000_s1034">
                <w:txbxContent>
                  <w:p w14:paraId="5AF67E21" w14:textId="77777777" w:rsidR="00CD4EB1" w:rsidRDefault="00CD4EB1" w:rsidP="00916D4F">
                    <w:pPr>
                      <w:jc w:val="center"/>
                    </w:pPr>
                    <w:proofErr w:type="spellStart"/>
                    <w:r>
                      <w:t>Noteholders</w:t>
                    </w:r>
                    <w:proofErr w:type="spellEnd"/>
                  </w:p>
                </w:txbxContent>
              </v:textbox>
            </v:rect>
            <v:rect id="_x0000_s1035" style="position:absolute;left:5076;top:2098;width:1815;height:1412;v-text-anchor:middle">
              <v:textbox style="mso-next-textbox:#_x0000_s1035">
                <w:txbxContent>
                  <w:p w14:paraId="01DD8F72" w14:textId="77777777" w:rsidR="00CD4EB1" w:rsidRDefault="00CD4EB1" w:rsidP="00916D4F">
                    <w:pPr>
                      <w:jc w:val="center"/>
                    </w:pPr>
                    <w:r>
                      <w:t>Issuer</w:t>
                    </w:r>
                    <w:r w:rsidR="00660FDA">
                      <w:br/>
                      <w:t>(</w:t>
                    </w:r>
                    <w:r w:rsidR="00B37BC5">
                      <w:t>A</w:t>
                    </w:r>
                    <w:r w:rsidR="00660FDA">
                      <w:t>)</w:t>
                    </w:r>
                  </w:p>
                </w:txbxContent>
              </v:textbox>
            </v:rect>
            <v:shape id="_x0000_s1036" type="#_x0000_t32" style="position:absolute;left:3269;top:3262;width:1807;height:0;v-text-anchor:middle" o:connectortype="straight">
              <v:stroke endarrow="block"/>
            </v:shape>
            <v:shape id="_x0000_s1037" type="#_x0000_t32" style="position:absolute;left:3269;top:2385;width:1807;height:0;v-text-anchor:middle" o:connectortype="straight">
              <v:stroke startarrow="block"/>
            </v:shape>
            <v:shape id="_x0000_s1038" type="#_x0000_t32" style="position:absolute;left:3257;top:2663;width:1807;height:0;v-text-anchor:middle" o:connectortype="straight">
              <v:stroke startarrow="block"/>
            </v:shape>
            <v:shape id="_x0000_s1039" type="#_x0000_t32" style="position:absolute;left:6891;top:3249;width:1807;height:0;v-text-anchor:middle" o:connectortype="straight">
              <v:stroke endarrow="block"/>
            </v:shape>
            <v:rect id="_x0000_s1040" style="position:absolute;left:8698;top:2098;width:1815;height:1412;v-text-anchor:middle">
              <v:textbox style="mso-next-textbox:#_x0000_s1040">
                <w:txbxContent>
                  <w:p w14:paraId="18DD46AA" w14:textId="77777777" w:rsidR="00CD4EB1" w:rsidRDefault="00CD4EB1" w:rsidP="0063198D">
                    <w:pPr>
                      <w:jc w:val="center"/>
                    </w:pPr>
                    <w:r>
                      <w:t>Borrower</w:t>
                    </w:r>
                  </w:p>
                </w:txbxContent>
              </v:textbox>
            </v:rect>
            <v:shape id="_x0000_s1041" type="#_x0000_t32" style="position:absolute;left:6891;top:2398;width:1807;height:0;v-text-anchor:middle" o:connectortype="straight">
              <v:stroke startarrow="block"/>
            </v:shape>
            <v:rect id="_x0000_s1042" style="position:absolute;left:8698;top:4098;width:1815;height:1412;v-text-anchor:middle">
              <v:textbox style="mso-next-textbox:#_x0000_s1042">
                <w:txbxContent>
                  <w:p w14:paraId="3FE3B4C5" w14:textId="77777777" w:rsidR="00CD4EB1" w:rsidRDefault="00CD4EB1" w:rsidP="004C65C1">
                    <w:pPr>
                      <w:jc w:val="center"/>
                    </w:pPr>
                    <w:r>
                      <w:t>Guarantor(s)</w:t>
                    </w:r>
                  </w:p>
                </w:txbxContent>
              </v:textbox>
            </v:rect>
            <v:shape id="_x0000_s1043" type="#_x0000_t32" style="position:absolute;left:7876;top:4848;width:822;height:0;flip:x;mso-position-vertical:absolute;v-text-anchor:middle" o:connectortype="straight">
              <v:stroke dashstyle="longDash"/>
            </v:shape>
            <v:shape id="_x0000_s1044" type="#_x0000_t32" style="position:absolute;left:7876;top:3630;width:0;height:1218;flip:y;v-text-anchor:middle" o:connectortype="straight">
              <v:stroke dashstyle="longDash" endarrow="block"/>
            </v:shape>
            <v:rect id="_x0000_s1045" style="position:absolute;left:1454;top:4098;width:1815;height:1412;v-text-anchor:middle">
              <v:textbox style="mso-next-textbox:#_x0000_s1045">
                <w:txbxContent>
                  <w:p w14:paraId="54E582D9" w14:textId="77777777" w:rsidR="00CD4EB1" w:rsidRDefault="00CD4EB1" w:rsidP="004C65C1">
                    <w:pPr>
                      <w:jc w:val="center"/>
                    </w:pPr>
                    <w:r>
                      <w:t>Trustee</w:t>
                    </w:r>
                  </w:p>
                </w:txbxContent>
              </v:textbox>
            </v:rect>
            <v:shape id="_x0000_s1046" type="#_x0000_t32" style="position:absolute;left:7633;top:3630;width:1;height:1218;flip:y;v-text-anchor:middle" o:connectortype="straight"/>
            <v:shape id="_x0000_s1047" type="#_x0000_t32" style="position:absolute;left:3268;top:4848;width:4365;height:1;flip:x;mso-position-vertical:absolute;v-text-anchor:middle" o:connectortype="straight">
              <v:stroke endarrow="block"/>
            </v:shape>
            <v:shape id="_x0000_s1048" type="#_x0000_t32" style="position:absolute;left:1451;top:5989;width:967;height:0;mso-position-horizontal:absolute;v-text-anchor:middle" o:connectortype="straight">
              <v:stroke dashstyle="longDash" endarrow="block"/>
            </v:shape>
          </v:group>
        </w:pict>
      </w:r>
    </w:p>
    <w:p w14:paraId="1A36DBB6" w14:textId="77777777" w:rsidR="00916D4F" w:rsidRPr="00925F83" w:rsidRDefault="00916D4F" w:rsidP="00916D4F">
      <w:pPr>
        <w:pStyle w:val="a0"/>
      </w:pPr>
    </w:p>
    <w:p w14:paraId="45978E4A" w14:textId="77777777" w:rsidR="0082500F" w:rsidRPr="00925F83" w:rsidRDefault="0082500F" w:rsidP="00916D4F">
      <w:pPr>
        <w:pStyle w:val="a0"/>
      </w:pPr>
    </w:p>
    <w:p w14:paraId="623A770F" w14:textId="77777777" w:rsidR="0082500F" w:rsidRPr="00925F83" w:rsidRDefault="0082500F" w:rsidP="0082500F">
      <w:pPr>
        <w:rPr>
          <w:lang w:eastAsia="en-GB"/>
        </w:rPr>
      </w:pPr>
    </w:p>
    <w:p w14:paraId="77F673E8" w14:textId="77777777" w:rsidR="0082500F" w:rsidRPr="00925F83" w:rsidRDefault="0082500F" w:rsidP="0082500F">
      <w:pPr>
        <w:rPr>
          <w:lang w:eastAsia="en-GB"/>
        </w:rPr>
      </w:pPr>
    </w:p>
    <w:p w14:paraId="44C975FB" w14:textId="77777777" w:rsidR="0082500F" w:rsidRPr="00925F83" w:rsidRDefault="0082500F" w:rsidP="0082500F">
      <w:pPr>
        <w:rPr>
          <w:lang w:eastAsia="en-GB"/>
        </w:rPr>
      </w:pPr>
    </w:p>
    <w:p w14:paraId="7FBFEAD5" w14:textId="77777777" w:rsidR="0082500F" w:rsidRPr="00925F83" w:rsidRDefault="0082500F" w:rsidP="0082500F">
      <w:pPr>
        <w:rPr>
          <w:lang w:eastAsia="en-GB"/>
        </w:rPr>
      </w:pPr>
    </w:p>
    <w:p w14:paraId="00A0E69E" w14:textId="77777777" w:rsidR="0082500F" w:rsidRPr="00925F83" w:rsidRDefault="0082500F" w:rsidP="0082500F">
      <w:pPr>
        <w:rPr>
          <w:lang w:eastAsia="en-GB"/>
        </w:rPr>
      </w:pPr>
    </w:p>
    <w:p w14:paraId="37BBEAFB" w14:textId="77777777" w:rsidR="00580EF4" w:rsidRPr="00925F83" w:rsidRDefault="00373983" w:rsidP="00580EF4">
      <w:pPr>
        <w:tabs>
          <w:tab w:val="left" w:pos="2307"/>
        </w:tabs>
        <w:ind w:left="1440"/>
        <w:rPr>
          <w:lang w:eastAsia="en-GB"/>
        </w:rPr>
      </w:pPr>
      <w:r>
        <w:rPr>
          <w:lang w:eastAsia="en-GB"/>
        </w:rPr>
        <w:br/>
      </w:r>
      <w:r w:rsidR="00923FB1" w:rsidRPr="00923FB1">
        <w:rPr>
          <w:lang w:eastAsia="en-GB"/>
        </w:rPr>
        <w:t>Optional</w:t>
      </w:r>
    </w:p>
    <w:p w14:paraId="3F325FC6" w14:textId="77777777" w:rsidR="002C62CE" w:rsidRPr="00925F83" w:rsidRDefault="002C62CE" w:rsidP="003046D6">
      <w:pPr>
        <w:pStyle w:val="a0"/>
        <w:spacing w:after="120"/>
        <w:rPr>
          <w:b/>
          <w:i/>
        </w:rPr>
      </w:pPr>
    </w:p>
    <w:p w14:paraId="0A9103E7" w14:textId="77777777" w:rsidR="006052C5" w:rsidRPr="00925F83" w:rsidRDefault="00373983" w:rsidP="006052C5">
      <w:pPr>
        <w:pStyle w:val="a0"/>
        <w:rPr>
          <w:b/>
          <w:i/>
        </w:rPr>
      </w:pPr>
      <w:r>
        <w:rPr>
          <w:b/>
          <w:i/>
        </w:rPr>
        <w:t>Regulation</w:t>
      </w:r>
      <w:r w:rsidR="00791DDD">
        <w:rPr>
          <w:b/>
          <w:i/>
        </w:rPr>
        <w:t> S and Rule </w:t>
      </w:r>
      <w:r>
        <w:rPr>
          <w:b/>
          <w:i/>
        </w:rPr>
        <w:t xml:space="preserve">144A </w:t>
      </w:r>
      <w:r w:rsidR="00321706">
        <w:rPr>
          <w:b/>
          <w:i/>
        </w:rPr>
        <w:t>transactions</w:t>
      </w:r>
    </w:p>
    <w:p w14:paraId="784F67A4" w14:textId="77777777" w:rsidR="003F5F47" w:rsidRPr="00925F83" w:rsidRDefault="00373983" w:rsidP="006052C5">
      <w:pPr>
        <w:pStyle w:val="a0"/>
      </w:pPr>
      <w:r>
        <w:t>Depending on the target investor base, two safe harbour exemptions under the U.S.</w:t>
      </w:r>
      <w:r w:rsidR="00791DDD">
        <w:t> </w:t>
      </w:r>
      <w:r>
        <w:t>Securities Act of 1933 (the "</w:t>
      </w:r>
      <w:r>
        <w:rPr>
          <w:b/>
        </w:rPr>
        <w:t>Securities Act</w:t>
      </w:r>
      <w:r>
        <w:t xml:space="preserve">") </w:t>
      </w:r>
      <w:r w:rsidR="00944900" w:rsidRPr="00944900">
        <w:t xml:space="preserve">are typically used by </w:t>
      </w:r>
      <w:r w:rsidR="00660FDA">
        <w:t>companies</w:t>
      </w:r>
      <w:r w:rsidR="00944900" w:rsidRPr="00944900">
        <w:t xml:space="preserve"> and managers</w:t>
      </w:r>
      <w:r>
        <w:t xml:space="preserve"> to issue </w:t>
      </w:r>
      <w:r w:rsidR="00660FDA">
        <w:t>note</w:t>
      </w:r>
      <w:r>
        <w:t>s without the need to r</w:t>
      </w:r>
      <w:r w:rsidR="00791DDD">
        <w:t>egister the</w:t>
      </w:r>
      <w:r w:rsidR="00660FDA">
        <w:t>m</w:t>
      </w:r>
      <w:r w:rsidR="00791DDD">
        <w:t xml:space="preserve"> with the U.S. </w:t>
      </w:r>
      <w:r>
        <w:t>Securities and Exchange Commission. Notes issued under the</w:t>
      </w:r>
      <w:r w:rsidR="00944900">
        <w:t xml:space="preserve"> </w:t>
      </w:r>
      <w:r w:rsidR="00944900" w:rsidRPr="00944900">
        <w:t>exemption provided by</w:t>
      </w:r>
      <w:r w:rsidR="00944900">
        <w:t xml:space="preserve"> Regulation </w:t>
      </w:r>
      <w:r>
        <w:t xml:space="preserve">S </w:t>
      </w:r>
      <w:r w:rsidR="00944900">
        <w:t>under the Securities Act</w:t>
      </w:r>
      <w:r>
        <w:t xml:space="preserve"> may </w:t>
      </w:r>
      <w:r w:rsidR="00944900">
        <w:t>generally</w:t>
      </w:r>
      <w:r>
        <w:t xml:space="preserve"> be sold</w:t>
      </w:r>
      <w:r w:rsidR="00944900">
        <w:t xml:space="preserve"> only</w:t>
      </w:r>
      <w:r>
        <w:t xml:space="preserve"> to non-U.S.</w:t>
      </w:r>
      <w:r w:rsidR="00791DDD">
        <w:t> </w:t>
      </w:r>
      <w:r>
        <w:t>investors while n</w:t>
      </w:r>
      <w:r w:rsidR="00944900">
        <w:t>otes issued in reliance on Rule </w:t>
      </w:r>
      <w:r>
        <w:t xml:space="preserve">144A </w:t>
      </w:r>
      <w:r w:rsidR="00944900">
        <w:t xml:space="preserve">under the Securities Act </w:t>
      </w:r>
      <w:r>
        <w:t>may also be offered</w:t>
      </w:r>
      <w:r w:rsidR="00944900">
        <w:t xml:space="preserve"> and sold in the United States to "q</w:t>
      </w:r>
      <w:r>
        <w:t xml:space="preserve">ualified </w:t>
      </w:r>
      <w:r w:rsidR="00944900">
        <w:t>i</w:t>
      </w:r>
      <w:r>
        <w:t xml:space="preserve">nstitutional </w:t>
      </w:r>
      <w:r w:rsidR="00944900">
        <w:t>b</w:t>
      </w:r>
      <w:r>
        <w:t>uyers" or "QIBs"</w:t>
      </w:r>
      <w:r w:rsidR="00944900">
        <w:t xml:space="preserve"> as defined under Rule 144A,</w:t>
      </w:r>
      <w:r>
        <w:t xml:space="preserve"> i.e. U.S.</w:t>
      </w:r>
      <w:r w:rsidR="00791DDD">
        <w:t> </w:t>
      </w:r>
      <w:r>
        <w:t xml:space="preserve">entities that </w:t>
      </w:r>
      <w:r w:rsidR="00CD4EB1">
        <w:t>satisfy</w:t>
      </w:r>
      <w:r>
        <w:t xml:space="preserve"> certain qualitative and quantitative </w:t>
      </w:r>
      <w:r w:rsidR="00CD4EB1">
        <w:t>criteria</w:t>
      </w:r>
      <w:r w:rsidR="00791DDD">
        <w:t>.</w:t>
      </w:r>
    </w:p>
    <w:p w14:paraId="1947FDA9" w14:textId="77777777" w:rsidR="00A64C9C" w:rsidRPr="00925F83" w:rsidRDefault="00373983" w:rsidP="00944900">
      <w:pPr>
        <w:pStyle w:val="a0"/>
      </w:pPr>
      <w:r>
        <w:t xml:space="preserve">The choice between </w:t>
      </w:r>
      <w:r w:rsidR="00944900">
        <w:t xml:space="preserve">a </w:t>
      </w:r>
      <w:r w:rsidR="00791DDD">
        <w:t>Regulation </w:t>
      </w:r>
      <w:r>
        <w:t xml:space="preserve">S </w:t>
      </w:r>
      <w:r w:rsidR="00944900">
        <w:t>or Rule </w:t>
      </w:r>
      <w:r>
        <w:t xml:space="preserve">144A </w:t>
      </w:r>
      <w:r w:rsidR="00791DDD">
        <w:t>transaction</w:t>
      </w:r>
      <w:r>
        <w:t xml:space="preserve"> would often have an impact on the size and yield of the contemplated transaction</w:t>
      </w:r>
      <w:r w:rsidR="00944900">
        <w:t xml:space="preserve">, as the expansion of the potential investor base as a result of adding U.S. institutional investors is often viewed as leading to potentially larger </w:t>
      </w:r>
      <w:r w:rsidR="007E3125">
        <w:t xml:space="preserve">deal </w:t>
      </w:r>
      <w:r w:rsidR="00944900">
        <w:t>size and/or better pricing levels.</w:t>
      </w:r>
      <w:r>
        <w:t xml:space="preserve"> </w:t>
      </w:r>
      <w:r w:rsidR="00944900">
        <w:t>However</w:t>
      </w:r>
      <w:r>
        <w:t>, the amo</w:t>
      </w:r>
      <w:r w:rsidR="00944900">
        <w:t>unt of work required for a Rule </w:t>
      </w:r>
      <w:r>
        <w:t xml:space="preserve">144A </w:t>
      </w:r>
      <w:r w:rsidR="007E3125">
        <w:t>transaction</w:t>
      </w:r>
      <w:r w:rsidR="00944900">
        <w:t xml:space="preserve"> is typically more extensive than that for a Regulation </w:t>
      </w:r>
      <w:r>
        <w:t xml:space="preserve">S </w:t>
      </w:r>
      <w:r w:rsidR="00791DDD">
        <w:t>transaction</w:t>
      </w:r>
      <w:r w:rsidR="00944900">
        <w:t xml:space="preserve">, as the </w:t>
      </w:r>
      <w:r>
        <w:t xml:space="preserve">former </w:t>
      </w:r>
      <w:r w:rsidR="00944900">
        <w:t xml:space="preserve">tends to involve a more thorough </w:t>
      </w:r>
      <w:r>
        <w:t>due diligence effort (</w:t>
      </w:r>
      <w:r w:rsidR="00944900">
        <w:t xml:space="preserve">in part to enable U.S. counsel to deliver a 10b-5 disclosure letter to the managers, which is customary for a Rule 144A </w:t>
      </w:r>
      <w:r w:rsidR="00791DDD">
        <w:t>transaction</w:t>
      </w:r>
      <w:r>
        <w:t xml:space="preserve">), more detailed disclosure in the </w:t>
      </w:r>
      <w:r w:rsidR="002141DA">
        <w:t>prospectus</w:t>
      </w:r>
      <w:r>
        <w:t xml:space="preserve">, </w:t>
      </w:r>
      <w:r w:rsidR="00944900">
        <w:t xml:space="preserve">a </w:t>
      </w:r>
      <w:r>
        <w:t xml:space="preserve">different type of comfort letters from </w:t>
      </w:r>
      <w:r w:rsidR="00944900">
        <w:t xml:space="preserve">the </w:t>
      </w:r>
      <w:r>
        <w:t>auditors</w:t>
      </w:r>
      <w:r w:rsidR="00944900">
        <w:t>,</w:t>
      </w:r>
      <w:r>
        <w:t xml:space="preserve"> and add</w:t>
      </w:r>
      <w:r w:rsidR="00944900">
        <w:t>itional tax and legal opinions.</w:t>
      </w:r>
    </w:p>
    <w:p w14:paraId="79DAF244" w14:textId="77777777" w:rsidR="00F36DA7" w:rsidRPr="00925F83" w:rsidRDefault="00373983" w:rsidP="006052C5">
      <w:pPr>
        <w:tabs>
          <w:tab w:val="left" w:pos="2307"/>
        </w:tabs>
      </w:pPr>
      <w:r>
        <w:t xml:space="preserve">Another important consideration </w:t>
      </w:r>
      <w:r w:rsidR="00D33F1D">
        <w:t>when deciding</w:t>
      </w:r>
      <w:r>
        <w:t xml:space="preserve"> between </w:t>
      </w:r>
      <w:r w:rsidR="00D33F1D">
        <w:t xml:space="preserve">a </w:t>
      </w:r>
      <w:r>
        <w:t>Regulation</w:t>
      </w:r>
      <w:r w:rsidR="00D33F1D">
        <w:t> S and Rule </w:t>
      </w:r>
      <w:r>
        <w:t xml:space="preserve">144A </w:t>
      </w:r>
      <w:r w:rsidR="00791DDD">
        <w:t>transaction</w:t>
      </w:r>
      <w:r>
        <w:t xml:space="preserve"> is the period of time during which the </w:t>
      </w:r>
      <w:r w:rsidR="002141DA">
        <w:t>company</w:t>
      </w:r>
      <w:r>
        <w:t xml:space="preserve"> would be able to </w:t>
      </w:r>
      <w:r w:rsidR="00D33F1D">
        <w:t>access</w:t>
      </w:r>
      <w:r>
        <w:t xml:space="preserve"> the market. </w:t>
      </w:r>
      <w:r w:rsidR="00D33F1D">
        <w:t xml:space="preserve">On Rule 144A </w:t>
      </w:r>
      <w:r w:rsidR="00791DDD">
        <w:t>transactions</w:t>
      </w:r>
      <w:r w:rsidR="00D33F1D">
        <w:t xml:space="preserve">, the managers will typically require that the auditors deliver so-called </w:t>
      </w:r>
      <w:r>
        <w:t>SAS 72 comfort letters</w:t>
      </w:r>
      <w:r w:rsidR="00D33F1D">
        <w:t xml:space="preserve">. Such letters can generally only </w:t>
      </w:r>
      <w:r>
        <w:t>cover periods ending not more than 135 days after the date of the most recent financial statements</w:t>
      </w:r>
      <w:r w:rsidR="00D33F1D">
        <w:t>. Consequently, it</w:t>
      </w:r>
      <w:r>
        <w:t xml:space="preserve"> would</w:t>
      </w:r>
      <w:r w:rsidR="00D33F1D">
        <w:t xml:space="preserve"> generally be difficult for </w:t>
      </w:r>
      <w:r w:rsidR="00321706">
        <w:t xml:space="preserve">the </w:t>
      </w:r>
      <w:r w:rsidR="007A4BD0">
        <w:t>company</w:t>
      </w:r>
      <w:r w:rsidR="00D33F1D">
        <w:t xml:space="preserve"> to conduct a Rule 144A</w:t>
      </w:r>
      <w:r>
        <w:t xml:space="preserve"> </w:t>
      </w:r>
      <w:r w:rsidR="00791DDD">
        <w:t>transaction</w:t>
      </w:r>
      <w:r w:rsidR="00D33F1D">
        <w:t xml:space="preserve"> </w:t>
      </w:r>
      <w:r>
        <w:t>after the expir</w:t>
      </w:r>
      <w:r w:rsidR="00D33F1D">
        <w:t>y</w:t>
      </w:r>
      <w:r>
        <w:t xml:space="preserve"> of</w:t>
      </w:r>
      <w:r w:rsidR="00D33F1D">
        <w:t xml:space="preserve"> such</w:t>
      </w:r>
      <w:r>
        <w:t xml:space="preserve"> 135-day period</w:t>
      </w:r>
      <w:r w:rsidR="00D33F1D">
        <w:t xml:space="preserve"> and before new financial statements become available</w:t>
      </w:r>
      <w:r>
        <w:t xml:space="preserve">. In contrast, Regulation S </w:t>
      </w:r>
      <w:r w:rsidR="00791DDD">
        <w:t>transactions</w:t>
      </w:r>
      <w:r>
        <w:t xml:space="preserve"> can be marketed beyond this cut-off period so one should be able to </w:t>
      </w:r>
      <w:r w:rsidR="00321706">
        <w:t>access</w:t>
      </w:r>
      <w:r>
        <w:t xml:space="preserve"> the Regulation S bond market up until a short period of time prior to the release of the next financial statements.</w:t>
      </w:r>
    </w:p>
    <w:p w14:paraId="5F8D0B8B" w14:textId="77777777" w:rsidR="00AD571F" w:rsidRPr="00925F83" w:rsidRDefault="00373983" w:rsidP="00CD4EB1">
      <w:pPr>
        <w:pStyle w:val="a0"/>
        <w:keepNext/>
        <w:rPr>
          <w:b/>
          <w:i/>
        </w:rPr>
      </w:pPr>
      <w:r>
        <w:rPr>
          <w:b/>
          <w:i/>
        </w:rPr>
        <w:lastRenderedPageBreak/>
        <w:t>Standalone issue or programme</w:t>
      </w:r>
    </w:p>
    <w:p w14:paraId="4100C29D" w14:textId="77777777" w:rsidR="00920376" w:rsidRPr="00925F83" w:rsidRDefault="00373983" w:rsidP="00920376">
      <w:pPr>
        <w:pStyle w:val="a0"/>
      </w:pPr>
      <w:r>
        <w:t>If a company plans to issue regularly into the debt capital markets, then it may be efficient to establ</w:t>
      </w:r>
      <w:r w:rsidR="00A645EE">
        <w:t xml:space="preserve">ish a debt issuance programme. </w:t>
      </w:r>
      <w:r>
        <w:t xml:space="preserve">The standards are the same for standalone issues and </w:t>
      </w:r>
      <w:r w:rsidR="002141DA">
        <w:t xml:space="preserve">debt issuance </w:t>
      </w:r>
      <w:proofErr w:type="gramStart"/>
      <w:r>
        <w:t>programmes,</w:t>
      </w:r>
      <w:proofErr w:type="gramEnd"/>
      <w:r>
        <w:t xml:space="preserve"> however, if you establish a programme then you may negotiate the terms on which all issues under the programme will be conducted. This may be m</w:t>
      </w:r>
      <w:r w:rsidR="002141DA">
        <w:t>ore efficient for regular issue</w:t>
      </w:r>
      <w:r>
        <w:t>s as negotiation time on an individual drawdown is reduced, although it will need to be balanced against the additional work involved in negotiating all possible issues that may be undertaken (not just the ind</w:t>
      </w:r>
      <w:r w:rsidR="00A645EE">
        <w:t>ividual issue of a standalone).</w:t>
      </w:r>
    </w:p>
    <w:p w14:paraId="5536E92F" w14:textId="77777777" w:rsidR="00AD571F" w:rsidRPr="00925F83" w:rsidRDefault="00373983" w:rsidP="00920376">
      <w:pPr>
        <w:pStyle w:val="a0"/>
      </w:pPr>
      <w:r>
        <w:t xml:space="preserve">The main factor to bear in mind is that the disclosure </w:t>
      </w:r>
      <w:r w:rsidR="002141DA">
        <w:t xml:space="preserve">in the prospectus </w:t>
      </w:r>
      <w:r>
        <w:t xml:space="preserve">relating to the </w:t>
      </w:r>
      <w:r w:rsidR="002141DA">
        <w:t>Borrower and/or the Guarantor(s)</w:t>
      </w:r>
      <w:r>
        <w:t xml:space="preserve">, and the diligence relating to that disclosure, must be fully up to date at the time that the company comes to market. Therefore, whilst a programme may be efficient in establishing the contractual framework, considerable work may still need to be done on an individual drawdown to update the disclosure </w:t>
      </w:r>
      <w:r w:rsidR="002141DA">
        <w:t xml:space="preserve">in the prospectus </w:t>
      </w:r>
      <w:r>
        <w:t xml:space="preserve">by incorporating the most recent financial information </w:t>
      </w:r>
      <w:r w:rsidR="00A645EE">
        <w:t>and any material developments.</w:t>
      </w:r>
    </w:p>
    <w:p w14:paraId="369C9C59" w14:textId="77777777" w:rsidR="00FD23CD" w:rsidRPr="00925F83" w:rsidRDefault="00373983" w:rsidP="0063361B">
      <w:pPr>
        <w:pStyle w:val="a0"/>
        <w:keepNext/>
        <w:rPr>
          <w:b/>
          <w:i/>
        </w:rPr>
      </w:pPr>
      <w:r>
        <w:rPr>
          <w:b/>
          <w:i/>
        </w:rPr>
        <w:t>Listing</w:t>
      </w:r>
    </w:p>
    <w:p w14:paraId="3126C7DE" w14:textId="77777777" w:rsidR="00835425" w:rsidRDefault="00373983" w:rsidP="00FD23CD">
      <w:pPr>
        <w:pStyle w:val="a0"/>
      </w:pPr>
      <w:r>
        <w:t>The choice of the listing venue depends on a number of factors, including the</w:t>
      </w:r>
      <w:r w:rsidR="00835425">
        <w:t xml:space="preserve"> investment base </w:t>
      </w:r>
      <w:r w:rsidR="0063361B">
        <w:t>the company is</w:t>
      </w:r>
      <w:r w:rsidR="00835425">
        <w:t xml:space="preserve"> looking to approach, the</w:t>
      </w:r>
      <w:r>
        <w:t xml:space="preserve"> availability of IFRS accounts or plans for subsequent secondary listing of the notes at the Moscow Exchange.</w:t>
      </w:r>
      <w:r w:rsidR="00835425">
        <w:t xml:space="preserve"> </w:t>
      </w:r>
      <w:r>
        <w:t xml:space="preserve">Over the last ten years, </w:t>
      </w:r>
      <w:r w:rsidR="00835425">
        <w:t xml:space="preserve">Dublin </w:t>
      </w:r>
      <w:r>
        <w:t xml:space="preserve">has </w:t>
      </w:r>
      <w:r w:rsidR="00835425">
        <w:t xml:space="preserve">become the </w:t>
      </w:r>
      <w:r>
        <w:t xml:space="preserve">listing </w:t>
      </w:r>
      <w:r w:rsidR="00835425">
        <w:t xml:space="preserve">venue </w:t>
      </w:r>
      <w:r>
        <w:t xml:space="preserve">of choice for Eurobonds of Russian </w:t>
      </w:r>
      <w:r w:rsidR="002141DA">
        <w:t>companies</w:t>
      </w:r>
      <w:r>
        <w:t xml:space="preserve">, although we have also seen Eurobonds listed </w:t>
      </w:r>
      <w:r w:rsidR="00CD4EB1">
        <w:t>elsewhere</w:t>
      </w:r>
      <w:r w:rsidR="0063361B">
        <w:t>.</w:t>
      </w:r>
    </w:p>
    <w:p w14:paraId="37CE58B4" w14:textId="77777777" w:rsidR="000949BC" w:rsidRDefault="00835425" w:rsidP="00FD23CD">
      <w:pPr>
        <w:pStyle w:val="a0"/>
      </w:pPr>
      <w:r>
        <w:t>The EU Prospectus Directive</w:t>
      </w:r>
      <w:r w:rsidR="00774F43">
        <w:t xml:space="preserve"> ("</w:t>
      </w:r>
      <w:r w:rsidR="00923FB1" w:rsidRPr="00923FB1">
        <w:rPr>
          <w:b/>
        </w:rPr>
        <w:t>PD</w:t>
      </w:r>
      <w:r w:rsidR="00774F43">
        <w:t>")</w:t>
      </w:r>
      <w:r>
        <w:t xml:space="preserve"> sets the </w:t>
      </w:r>
      <w:r w:rsidR="00774F43">
        <w:t xml:space="preserve">regulatory </w:t>
      </w:r>
      <w:r>
        <w:t xml:space="preserve">standards </w:t>
      </w:r>
      <w:r w:rsidR="00774F43">
        <w:t xml:space="preserve">required </w:t>
      </w:r>
      <w:r>
        <w:t xml:space="preserve">for disclosure </w:t>
      </w:r>
      <w:r w:rsidR="00774F43">
        <w:t xml:space="preserve">in the prospectus in order to enable </w:t>
      </w:r>
      <w:r>
        <w:t xml:space="preserve">listing on any </w:t>
      </w:r>
      <w:r w:rsidR="00774F43">
        <w:t xml:space="preserve">PD </w:t>
      </w:r>
      <w:r>
        <w:t xml:space="preserve">regulated market </w:t>
      </w:r>
      <w:r w:rsidR="00774F43">
        <w:t>in</w:t>
      </w:r>
      <w:r>
        <w:t xml:space="preserve"> the EEA. </w:t>
      </w:r>
      <w:r w:rsidR="002141DA">
        <w:t>F</w:t>
      </w:r>
      <w:r w:rsidR="00774F43">
        <w:t>ull di</w:t>
      </w:r>
      <w:r w:rsidR="002141DA">
        <w:t>sclosure will be needed on the I</w:t>
      </w:r>
      <w:r w:rsidR="00774F43">
        <w:t xml:space="preserve">ssuer and </w:t>
      </w:r>
      <w:r w:rsidR="00CD4EB1">
        <w:t>G</w:t>
      </w:r>
      <w:r w:rsidR="00774F43">
        <w:t>uarantor</w:t>
      </w:r>
      <w:r w:rsidR="002141DA">
        <w:t xml:space="preserve">(s) in case of the Guaranteed Structure, and </w:t>
      </w:r>
      <w:r w:rsidR="000949BC">
        <w:t xml:space="preserve">on </w:t>
      </w:r>
      <w:r w:rsidR="00B37BC5">
        <w:t>A</w:t>
      </w:r>
      <w:r w:rsidR="00774F43">
        <w:t xml:space="preserve"> and the Borrower (plus additional </w:t>
      </w:r>
      <w:r w:rsidR="002141DA">
        <w:t>g</w:t>
      </w:r>
      <w:r w:rsidR="00774F43">
        <w:t>uarantor</w:t>
      </w:r>
      <w:r w:rsidR="002141DA">
        <w:t>(s), if any</w:t>
      </w:r>
      <w:r w:rsidR="00774F43">
        <w:t>)</w:t>
      </w:r>
      <w:r w:rsidR="002141DA">
        <w:t xml:space="preserve"> in case of the LPN Structure</w:t>
      </w:r>
      <w:r w:rsidR="00774F43">
        <w:t xml:space="preserve">. </w:t>
      </w:r>
    </w:p>
    <w:p w14:paraId="022DCF0E" w14:textId="77777777" w:rsidR="00FD23CD" w:rsidRDefault="00835425" w:rsidP="00FD23CD">
      <w:pPr>
        <w:pStyle w:val="a0"/>
      </w:pPr>
      <w:r>
        <w:t>Th</w:t>
      </w:r>
      <w:r w:rsidR="00774F43">
        <w:t xml:space="preserve">e PD sets out extensive criteria for disclosure, however, satisfaction of the technical criteria to permit listing is not sufficient. The prospectus must contain all information that an investor may reasonably require to make </w:t>
      </w:r>
      <w:r w:rsidR="00CD4EB1">
        <w:t xml:space="preserve">an informed </w:t>
      </w:r>
      <w:r w:rsidR="00774F43">
        <w:t>decision whether or not to invest</w:t>
      </w:r>
      <w:r w:rsidR="002141DA">
        <w:t xml:space="preserve"> in the notes</w:t>
      </w:r>
      <w:r w:rsidR="00774F43">
        <w:t xml:space="preserve">. Furthermore, the prospectus is primarily a liability document: if </w:t>
      </w:r>
      <w:r w:rsidR="00CD4EB1">
        <w:t>any statement</w:t>
      </w:r>
      <w:r w:rsidR="00774F43">
        <w:t xml:space="preserve"> in the prospectus is incorrect, misleading, or if any material information is missing, then there is potential for an action to be brought against the </w:t>
      </w:r>
      <w:r w:rsidR="00CD4EB1">
        <w:t>issuer</w:t>
      </w:r>
      <w:r w:rsidR="0063361B">
        <w:t>,</w:t>
      </w:r>
      <w:r w:rsidR="00CD4EB1">
        <w:t xml:space="preserve"> and/or</w:t>
      </w:r>
      <w:r w:rsidR="0063361B">
        <w:t xml:space="preserve"> the Borrower, and/or</w:t>
      </w:r>
      <w:r w:rsidR="00CD4EB1">
        <w:t xml:space="preserve"> the Guarantor.</w:t>
      </w:r>
    </w:p>
    <w:p w14:paraId="326D0183" w14:textId="77777777" w:rsidR="00925F83" w:rsidRPr="00925F83" w:rsidRDefault="000949BC" w:rsidP="00FD23CD">
      <w:pPr>
        <w:pStyle w:val="a0"/>
      </w:pPr>
      <w:r>
        <w:t>As a result, if there is any reason why it is not possible to be fully open in the prospectus (for example some material corporate action is planned, but has not been disclosed) the</w:t>
      </w:r>
      <w:r w:rsidR="00C45B05">
        <w:t>n</w:t>
      </w:r>
      <w:r>
        <w:t xml:space="preserve"> it is not the time to come to market. Furthermore, if significant corporate action (such as a merger or disposal of a significant portion of the business) is planned and disclosed, then additional work will be needed to describe not only the current business but also how the business would look if such corporate action had already been completed. This may require the preparation of </w:t>
      </w:r>
      <w:r w:rsidR="00923FB1" w:rsidRPr="00923FB1">
        <w:rPr>
          <w:i/>
        </w:rPr>
        <w:t>pro-forma</w:t>
      </w:r>
      <w:r>
        <w:t xml:space="preserve"> accounts (i.e. the historical financial statements adjusted to show the business after such corporate action). </w:t>
      </w:r>
    </w:p>
    <w:p w14:paraId="1ADFC5A0" w14:textId="77777777" w:rsidR="00D85807" w:rsidRPr="00925F83" w:rsidRDefault="00373983" w:rsidP="0063361B">
      <w:pPr>
        <w:pStyle w:val="a0"/>
        <w:keepNext/>
        <w:rPr>
          <w:b/>
          <w:i/>
        </w:rPr>
      </w:pPr>
      <w:r>
        <w:rPr>
          <w:b/>
          <w:i/>
        </w:rPr>
        <w:t>Covenants package</w:t>
      </w:r>
    </w:p>
    <w:p w14:paraId="15AD5D19" w14:textId="77777777" w:rsidR="003C5F4A" w:rsidRPr="00925F83" w:rsidRDefault="00923FB1" w:rsidP="003C5F4A">
      <w:r w:rsidRPr="00923FB1">
        <w:t xml:space="preserve">Covenants are the only comfort that a debt investor will get regarding the future running of a </w:t>
      </w:r>
      <w:r w:rsidR="00CD4EB1">
        <w:t>company</w:t>
      </w:r>
      <w:r w:rsidRPr="00923FB1">
        <w:t xml:space="preserve"> and therefore maintaining the ongo</w:t>
      </w:r>
      <w:r w:rsidR="0063361B">
        <w:t>ing health of their investment.</w:t>
      </w:r>
    </w:p>
    <w:p w14:paraId="36D956FB" w14:textId="77777777" w:rsidR="003C5F4A" w:rsidRPr="00925F83" w:rsidRDefault="00923FB1" w:rsidP="003C5F4A">
      <w:r w:rsidRPr="00923FB1">
        <w:lastRenderedPageBreak/>
        <w:t xml:space="preserve">It is essential to benchmark a covenant package against the industry peers in the negotiation process to see what the investors will be comparing the terms to. The company obviously has to live with the covenants for the life of </w:t>
      </w:r>
      <w:r w:rsidR="00742235">
        <w:t>the notes.</w:t>
      </w:r>
      <w:r w:rsidRPr="00923FB1">
        <w:t xml:space="preserve"> </w:t>
      </w:r>
      <w:r w:rsidR="00742235">
        <w:t>O</w:t>
      </w:r>
      <w:r w:rsidRPr="00923FB1">
        <w:t>n the one hand they will not want the covenant package to be so tight that they are at a competitive disadvantage when looking to grow the company, on the other hand, covenants that are too weak will be perceived by investors as more risky, and they will therefore look for compensation for this i</w:t>
      </w:r>
      <w:r w:rsidR="0063361B">
        <w:t>n terms of the coupon demanded.</w:t>
      </w:r>
    </w:p>
    <w:p w14:paraId="4AEABF4A" w14:textId="77777777" w:rsidR="003C5F4A" w:rsidRPr="00925F83" w:rsidRDefault="00923FB1" w:rsidP="003C5F4A">
      <w:r w:rsidRPr="00923FB1">
        <w:t>Broadly speaking the covenants look to address two main concerns: what assets will investors have</w:t>
      </w:r>
      <w:r w:rsidR="0063361B">
        <w:t xml:space="preserve"> access to if they </w:t>
      </w:r>
      <w:r w:rsidR="00742235">
        <w:t>accelerate</w:t>
      </w:r>
      <w:r w:rsidR="0063361B">
        <w:t xml:space="preserve"> the n</w:t>
      </w:r>
      <w:r w:rsidR="0004533F">
        <w:t>otes; and will the company</w:t>
      </w:r>
      <w:r w:rsidRPr="00923FB1">
        <w:t xml:space="preserve">'s financial health be maintained. </w:t>
      </w:r>
    </w:p>
    <w:p w14:paraId="2AB94723" w14:textId="77777777" w:rsidR="003C5F4A" w:rsidRPr="0004533F" w:rsidRDefault="0004533F" w:rsidP="0004533F">
      <w:pPr>
        <w:rPr>
          <w:bCs/>
          <w:i/>
        </w:rPr>
      </w:pPr>
      <w:r w:rsidRPr="0004533F">
        <w:rPr>
          <w:bCs/>
          <w:i/>
        </w:rPr>
        <w:t xml:space="preserve">Access to </w:t>
      </w:r>
      <w:r w:rsidRPr="0004533F">
        <w:rPr>
          <w:i/>
        </w:rPr>
        <w:t>Assets</w:t>
      </w:r>
    </w:p>
    <w:p w14:paraId="20EAC79C" w14:textId="77777777" w:rsidR="003C5F4A" w:rsidRPr="00925F83" w:rsidRDefault="00923FB1" w:rsidP="003C5F4A">
      <w:r w:rsidRPr="00923FB1">
        <w:t xml:space="preserve">The investor will want the </w:t>
      </w:r>
      <w:r w:rsidR="00CD4EB1">
        <w:t>company</w:t>
      </w:r>
      <w:r w:rsidRPr="00923FB1">
        <w:t xml:space="preserve"> to maintain </w:t>
      </w:r>
      <w:r w:rsidR="00CD4EB1">
        <w:t>its</w:t>
      </w:r>
      <w:r w:rsidRPr="00923FB1">
        <w:t xml:space="preserve"> asset base. If the </w:t>
      </w:r>
      <w:r w:rsidR="00CD4EB1">
        <w:t>company</w:t>
      </w:r>
      <w:r w:rsidRPr="00923FB1">
        <w:t xml:space="preserve"> goes insolvent the investor will hopeful</w:t>
      </w:r>
      <w:r w:rsidR="0004533F">
        <w:t>ly be able to recoup something.</w:t>
      </w:r>
    </w:p>
    <w:p w14:paraId="69F8607E" w14:textId="77777777" w:rsidR="003C5F4A" w:rsidRPr="00925F83" w:rsidRDefault="00923FB1" w:rsidP="003C5F4A">
      <w:r w:rsidRPr="00923FB1">
        <w:t>Simple terms</w:t>
      </w:r>
      <w:r w:rsidR="00742235">
        <w:t xml:space="preserve"> of the notes</w:t>
      </w:r>
      <w:r w:rsidRPr="00923FB1">
        <w:t xml:space="preserve"> rely on the</w:t>
      </w:r>
      <w:r w:rsidR="00742235" w:rsidRPr="00923FB1">
        <w:t xml:space="preserve"> most standard </w:t>
      </w:r>
      <w:r w:rsidR="00CD4EB1">
        <w:t>n</w:t>
      </w:r>
      <w:r w:rsidRPr="00923FB1">
        <w:t xml:space="preserve">egative </w:t>
      </w:r>
      <w:r w:rsidR="00CD4EB1">
        <w:t>p</w:t>
      </w:r>
      <w:r w:rsidRPr="00923FB1">
        <w:t>ledge</w:t>
      </w:r>
      <w:r w:rsidR="00742235">
        <w:t xml:space="preserve"> covenant</w:t>
      </w:r>
      <w:r w:rsidRPr="00923FB1">
        <w:t xml:space="preserve"> to cover this concern. The </w:t>
      </w:r>
      <w:r w:rsidR="0004533F">
        <w:t>company</w:t>
      </w:r>
      <w:r w:rsidRPr="00923FB1">
        <w:t xml:space="preserve"> promises not to give security over assets to support other debt so that investors are not further down in the pecking order on insolvency. The negative pledge may be limited to cover security for other capital markets instruments or may be in respect of</w:t>
      </w:r>
      <w:r w:rsidR="0004533F">
        <w:t xml:space="preserve"> security for any indebtedness.</w:t>
      </w:r>
    </w:p>
    <w:p w14:paraId="789AC425" w14:textId="77777777" w:rsidR="003C5F4A" w:rsidRPr="00925F83" w:rsidRDefault="00923FB1" w:rsidP="003C5F4A">
      <w:r w:rsidRPr="00923FB1">
        <w:t xml:space="preserve">There may also be further covenants to consider maintenance of the </w:t>
      </w:r>
      <w:r w:rsidR="0004533F">
        <w:t>company</w:t>
      </w:r>
      <w:r w:rsidR="0063361B">
        <w:t>'</w:t>
      </w:r>
      <w:r w:rsidRPr="00923FB1">
        <w:t xml:space="preserve">s assets. These become more of a focus </w:t>
      </w:r>
      <w:r w:rsidR="00742235">
        <w:t>in case of a complicated</w:t>
      </w:r>
      <w:r w:rsidRPr="00923FB1">
        <w:t xml:space="preserve"> </w:t>
      </w:r>
      <w:r w:rsidR="00742235">
        <w:t xml:space="preserve">group </w:t>
      </w:r>
      <w:r w:rsidRPr="00923FB1">
        <w:t>structure, or significant related parties. In order to restrict the depletion of assets within the</w:t>
      </w:r>
      <w:r w:rsidR="00742235">
        <w:t xml:space="preserve"> company or g</w:t>
      </w:r>
      <w:r w:rsidRPr="00923FB1">
        <w:t>roup over time the covenants may impose limitations on disposals, or limitations on transactions with affiliates, limits on mergers, or restrictions on payments. These are all looking to ensure that any such transactions are conducted on an arm</w:t>
      </w:r>
      <w:r w:rsidR="0063361B">
        <w:t>'</w:t>
      </w:r>
      <w:r w:rsidRPr="00923FB1">
        <w:t xml:space="preserve">s length basis on commercial terms and for full market value. </w:t>
      </w:r>
    </w:p>
    <w:p w14:paraId="6463C1BD" w14:textId="77777777" w:rsidR="003C5F4A" w:rsidRPr="0004533F" w:rsidRDefault="00923FB1" w:rsidP="0004533F">
      <w:pPr>
        <w:rPr>
          <w:i/>
        </w:rPr>
      </w:pPr>
      <w:r w:rsidRPr="0004533F">
        <w:rPr>
          <w:i/>
        </w:rPr>
        <w:t>Staying hea</w:t>
      </w:r>
      <w:r w:rsidR="0004533F">
        <w:rPr>
          <w:i/>
        </w:rPr>
        <w:t>lthy</w:t>
      </w:r>
    </w:p>
    <w:p w14:paraId="620C6B11" w14:textId="77777777" w:rsidR="003C5F4A" w:rsidRPr="00925F83" w:rsidRDefault="00923FB1" w:rsidP="003C5F4A">
      <w:r w:rsidRPr="00923FB1">
        <w:t xml:space="preserve">Other covenants will focus on the ongoing health of the company in other ways. Some of which will be very straight forward, such as covenants to maintain key authorisations, licenses or consents. This is a keen focus where any form of external licence or authorisation is essential to the operations of a company. </w:t>
      </w:r>
    </w:p>
    <w:p w14:paraId="11744B3D" w14:textId="77777777" w:rsidR="00923FB1" w:rsidRDefault="00923FB1" w:rsidP="00923FB1">
      <w:r w:rsidRPr="00923FB1">
        <w:t>There may also be financial covenants. These could restrict operations to within certain key ratio limits although this depends very much on the nature of the company and its credit rating. If financial covenants are needed</w:t>
      </w:r>
      <w:r w:rsidR="0004533F">
        <w:t>,</w:t>
      </w:r>
      <w:r w:rsidRPr="00923FB1">
        <w:t xml:space="preserve"> th</w:t>
      </w:r>
      <w:r w:rsidR="00CD4EB1">
        <w:t>e</w:t>
      </w:r>
      <w:r w:rsidRPr="00923FB1">
        <w:t>n certain information will need to be provided to enable monitoring of the</w:t>
      </w:r>
      <w:r w:rsidR="00742235">
        <w:t xml:space="preserve"> company's</w:t>
      </w:r>
      <w:r w:rsidRPr="00923FB1">
        <w:t xml:space="preserve"> performance. Therefore</w:t>
      </w:r>
      <w:r w:rsidR="00CD4EB1">
        <w:t>,</w:t>
      </w:r>
      <w:r w:rsidRPr="00923FB1">
        <w:t xml:space="preserve"> covenants may be included to provide information such as accounts, compliance certificates, or granting right of access for inspection. Financial covenants tend to be lighter than thos</w:t>
      </w:r>
      <w:r w:rsidR="00742235">
        <w:t>e in the loan market generally.</w:t>
      </w:r>
    </w:p>
    <w:p w14:paraId="35771164" w14:textId="77777777" w:rsidR="00923FB1" w:rsidRPr="00923FB1" w:rsidRDefault="00923FB1" w:rsidP="0004533F">
      <w:pPr>
        <w:pStyle w:val="a0"/>
        <w:keepNext/>
      </w:pPr>
      <w:r w:rsidRPr="00923FB1">
        <w:rPr>
          <w:b/>
          <w:bCs/>
          <w:i/>
        </w:rPr>
        <w:t>A balancing act</w:t>
      </w:r>
    </w:p>
    <w:p w14:paraId="33E305F1" w14:textId="77777777" w:rsidR="0062491A" w:rsidRPr="0062491A" w:rsidRDefault="00923FB1">
      <w:r w:rsidRPr="00923FB1">
        <w:t xml:space="preserve">The best way to look at, and negotiate, the covenants and events of default is to see them as a balancing act with significant common interests on both sides. Everyone wants the viability of the company to be maintained (not just the ability to repay its debt on time, but also the ability to grow, take advantage of market opportunities, and to remain competitive and </w:t>
      </w:r>
      <w:r w:rsidRPr="00923FB1">
        <w:lastRenderedPageBreak/>
        <w:t>responsive to market change</w:t>
      </w:r>
      <w:r w:rsidR="00742235">
        <w:t>)</w:t>
      </w:r>
      <w:r w:rsidR="00CD4EB1">
        <w:t>. At t</w:t>
      </w:r>
      <w:r w:rsidRPr="00923FB1">
        <w:t xml:space="preserve">he same time, the value of the investment needs to be maintained, including through more difficult market conditions (neither the company nor the </w:t>
      </w:r>
      <w:proofErr w:type="spellStart"/>
      <w:r w:rsidRPr="00923FB1">
        <w:t>noteholder</w:t>
      </w:r>
      <w:proofErr w:type="spellEnd"/>
      <w:r w:rsidRPr="00923FB1">
        <w:t xml:space="preserve"> wants the secondary market trading value of any notes to fall significantly during difficult times). Robust and efficient enforcement mechanics will help to maintain confidence in an investment during such times. There is therefore a community of interest in ensuring that the covenan</w:t>
      </w:r>
      <w:r w:rsidR="0004533F">
        <w:t>t package is properly balanced.</w:t>
      </w:r>
    </w:p>
    <w:p w14:paraId="2767B582" w14:textId="77777777" w:rsidR="00960372" w:rsidRPr="00925F83" w:rsidRDefault="0004533F" w:rsidP="0004533F">
      <w:pPr>
        <w:pStyle w:val="a0"/>
        <w:keepNext/>
        <w:rPr>
          <w:b/>
          <w:i/>
        </w:rPr>
      </w:pPr>
      <w:r>
        <w:rPr>
          <w:b/>
          <w:i/>
        </w:rPr>
        <w:t>Russian law matters</w:t>
      </w:r>
    </w:p>
    <w:p w14:paraId="50AB1697" w14:textId="77777777" w:rsidR="00960372" w:rsidRPr="00925F83" w:rsidRDefault="00373983" w:rsidP="00960372">
      <w:pPr>
        <w:tabs>
          <w:tab w:val="left" w:pos="2307"/>
        </w:tabs>
        <w:rPr>
          <w:i/>
          <w:lang w:eastAsia="en-GB"/>
        </w:rPr>
      </w:pPr>
      <w:r>
        <w:rPr>
          <w:i/>
          <w:lang w:eastAsia="en-GB"/>
        </w:rPr>
        <w:t>Regulatory approvals</w:t>
      </w:r>
    </w:p>
    <w:p w14:paraId="4E8E7AF1" w14:textId="77777777" w:rsidR="00960372" w:rsidRPr="00925F83" w:rsidRDefault="00373983" w:rsidP="00960372">
      <w:pPr>
        <w:tabs>
          <w:tab w:val="left" w:pos="2307"/>
        </w:tabs>
        <w:rPr>
          <w:lang w:eastAsia="en-GB"/>
        </w:rPr>
      </w:pPr>
      <w:r>
        <w:rPr>
          <w:lang w:eastAsia="en-GB"/>
        </w:rPr>
        <w:t xml:space="preserve">Neither the Guaranteed Structure nor the LPN Structure requires the </w:t>
      </w:r>
      <w:r w:rsidR="00742235">
        <w:rPr>
          <w:lang w:eastAsia="en-GB"/>
        </w:rPr>
        <w:t>Guarantor(s)</w:t>
      </w:r>
      <w:r>
        <w:rPr>
          <w:lang w:eastAsia="en-GB"/>
        </w:rPr>
        <w:t xml:space="preserve"> or </w:t>
      </w:r>
      <w:r w:rsidR="00742235">
        <w:rPr>
          <w:lang w:eastAsia="en-GB"/>
        </w:rPr>
        <w:t xml:space="preserve">the Borrower </w:t>
      </w:r>
      <w:r>
        <w:rPr>
          <w:lang w:eastAsia="en-GB"/>
        </w:rPr>
        <w:t xml:space="preserve">to obtain approvals of the Central Bank of the Russian Federation </w:t>
      </w:r>
      <w:r w:rsidR="00742235">
        <w:rPr>
          <w:lang w:eastAsia="en-GB"/>
        </w:rPr>
        <w:t>(the "</w:t>
      </w:r>
      <w:r w:rsidR="00742235" w:rsidRPr="00742235">
        <w:rPr>
          <w:b/>
          <w:lang w:eastAsia="en-GB"/>
        </w:rPr>
        <w:t>Central Bank</w:t>
      </w:r>
      <w:r w:rsidR="00742235">
        <w:rPr>
          <w:lang w:eastAsia="en-GB"/>
        </w:rPr>
        <w:t xml:space="preserve">") </w:t>
      </w:r>
      <w:r>
        <w:rPr>
          <w:lang w:eastAsia="en-GB"/>
        </w:rPr>
        <w:t>or of other government or regulatory bodies in the Russian Federation.</w:t>
      </w:r>
    </w:p>
    <w:p w14:paraId="4B0F5275" w14:textId="77777777" w:rsidR="00960372" w:rsidRPr="00925F83" w:rsidRDefault="00373983" w:rsidP="00960372">
      <w:pPr>
        <w:tabs>
          <w:tab w:val="left" w:pos="2307"/>
        </w:tabs>
        <w:rPr>
          <w:i/>
          <w:lang w:eastAsia="en-GB"/>
        </w:rPr>
      </w:pPr>
      <w:r>
        <w:rPr>
          <w:i/>
          <w:lang w:eastAsia="en-GB"/>
        </w:rPr>
        <w:t>Corporate approvals</w:t>
      </w:r>
    </w:p>
    <w:p w14:paraId="25DB235A" w14:textId="77777777" w:rsidR="00E06911" w:rsidRPr="00925F83" w:rsidRDefault="00373983" w:rsidP="00960372">
      <w:pPr>
        <w:tabs>
          <w:tab w:val="left" w:pos="2307"/>
        </w:tabs>
        <w:rPr>
          <w:lang w:eastAsia="en-GB"/>
        </w:rPr>
      </w:pPr>
      <w:r>
        <w:rPr>
          <w:lang w:eastAsia="en-GB"/>
        </w:rPr>
        <w:t xml:space="preserve">As a matter of Russian law, transactions entered into by a company which are valued at 25 per cent. </w:t>
      </w:r>
      <w:proofErr w:type="gramStart"/>
      <w:r>
        <w:rPr>
          <w:lang w:eastAsia="en-GB"/>
        </w:rPr>
        <w:t>or</w:t>
      </w:r>
      <w:proofErr w:type="gramEnd"/>
      <w:r>
        <w:rPr>
          <w:lang w:eastAsia="en-GB"/>
        </w:rPr>
        <w:t xml:space="preserve"> more of the balance sheet value of that company's assets as of the last reporting date must be approved by its board of directors or shareholders, depending on the value of the transaction. </w:t>
      </w:r>
    </w:p>
    <w:p w14:paraId="62E80D28" w14:textId="77777777" w:rsidR="00960372" w:rsidRPr="00925F83" w:rsidRDefault="00373983" w:rsidP="00960372">
      <w:pPr>
        <w:tabs>
          <w:tab w:val="left" w:pos="2307"/>
        </w:tabs>
        <w:rPr>
          <w:lang w:eastAsia="en-GB"/>
        </w:rPr>
      </w:pPr>
      <w:r>
        <w:rPr>
          <w:lang w:eastAsia="en-GB"/>
        </w:rPr>
        <w:t xml:space="preserve">Transactions with related parties (for example, where </w:t>
      </w:r>
      <w:r>
        <w:t xml:space="preserve">the notes are guaranteed by a non-wholly owned related party of the </w:t>
      </w:r>
      <w:r w:rsidR="00742235">
        <w:t>Subsidiary I</w:t>
      </w:r>
      <w:r>
        <w:t xml:space="preserve">ssuer) </w:t>
      </w:r>
      <w:r>
        <w:rPr>
          <w:lang w:eastAsia="en-GB"/>
        </w:rPr>
        <w:t>can also require specific approval as an "interested party" transaction.</w:t>
      </w:r>
    </w:p>
    <w:p w14:paraId="7B4DB316" w14:textId="77777777" w:rsidR="006711CB" w:rsidRPr="00925F83" w:rsidRDefault="00373983" w:rsidP="00960372">
      <w:pPr>
        <w:tabs>
          <w:tab w:val="left" w:pos="2307"/>
        </w:tabs>
        <w:rPr>
          <w:lang w:eastAsia="en-GB"/>
        </w:rPr>
      </w:pPr>
      <w:r>
        <w:rPr>
          <w:lang w:eastAsia="en-GB"/>
        </w:rPr>
        <w:t>Finally, the charter of the company may require that certain transactions (such as borrowing the loan or guaranteeing the notes) be approved by its board of directors or shareholders.</w:t>
      </w:r>
    </w:p>
    <w:p w14:paraId="6EDC40FC" w14:textId="77777777" w:rsidR="005602E7" w:rsidRPr="00925F83" w:rsidRDefault="00373983" w:rsidP="0004533F">
      <w:pPr>
        <w:pStyle w:val="a0"/>
        <w:keepNext/>
        <w:rPr>
          <w:i/>
        </w:rPr>
      </w:pPr>
      <w:r>
        <w:rPr>
          <w:b/>
          <w:i/>
        </w:rPr>
        <w:t xml:space="preserve">Russian tax </w:t>
      </w:r>
      <w:r w:rsidRPr="0004533F">
        <w:rPr>
          <w:b/>
          <w:bCs/>
          <w:i/>
        </w:rPr>
        <w:t>matters</w:t>
      </w:r>
    </w:p>
    <w:p w14:paraId="12B5F644" w14:textId="77777777" w:rsidR="005602E7" w:rsidRPr="00925F83" w:rsidRDefault="00373983" w:rsidP="005602E7">
      <w:pPr>
        <w:tabs>
          <w:tab w:val="left" w:pos="2307"/>
        </w:tabs>
        <w:rPr>
          <w:i/>
          <w:lang w:eastAsia="en-GB"/>
        </w:rPr>
      </w:pPr>
      <w:r>
        <w:rPr>
          <w:i/>
          <w:lang w:eastAsia="en-GB"/>
        </w:rPr>
        <w:t>Russian withholding tax</w:t>
      </w:r>
    </w:p>
    <w:p w14:paraId="69B545C6" w14:textId="77777777" w:rsidR="00421A44" w:rsidRDefault="00421A44" w:rsidP="00421A44">
      <w:pPr>
        <w:tabs>
          <w:tab w:val="left" w:pos="2307"/>
        </w:tabs>
        <w:rPr>
          <w:lang w:eastAsia="en-GB"/>
        </w:rPr>
      </w:pPr>
      <w:r>
        <w:rPr>
          <w:lang w:eastAsia="en-GB"/>
        </w:rPr>
        <w:t>Ge</w:t>
      </w:r>
      <w:r w:rsidR="00436380">
        <w:rPr>
          <w:lang w:eastAsia="en-GB"/>
        </w:rPr>
        <w:t>nerally, Russia would impose 20 per cent.</w:t>
      </w:r>
      <w:r>
        <w:rPr>
          <w:lang w:eastAsia="en-GB"/>
        </w:rPr>
        <w:t xml:space="preserve"> </w:t>
      </w:r>
      <w:proofErr w:type="gramStart"/>
      <w:r>
        <w:rPr>
          <w:lang w:eastAsia="en-GB"/>
        </w:rPr>
        <w:t>withholding</w:t>
      </w:r>
      <w:proofErr w:type="gramEnd"/>
      <w:r>
        <w:rPr>
          <w:lang w:eastAsia="en-GB"/>
        </w:rPr>
        <w:t xml:space="preserve"> tax on interest payments to foreign entities. While historically Russian </w:t>
      </w:r>
      <w:r w:rsidR="00436380">
        <w:rPr>
          <w:lang w:eastAsia="en-GB"/>
        </w:rPr>
        <w:t>companies</w:t>
      </w:r>
      <w:r>
        <w:rPr>
          <w:lang w:eastAsia="en-GB"/>
        </w:rPr>
        <w:t xml:space="preserve"> relied on double tax treaties and paid gross on the basis of the tax residency certificates received from </w:t>
      </w:r>
      <w:r w:rsidR="00436380">
        <w:rPr>
          <w:lang w:eastAsia="en-GB"/>
        </w:rPr>
        <w:t>the Issuers</w:t>
      </w:r>
      <w:r>
        <w:rPr>
          <w:lang w:eastAsia="en-GB"/>
        </w:rPr>
        <w:t xml:space="preserve">, in 2011 the Russian Ministry of Finance has expressed a view that </w:t>
      </w:r>
      <w:r w:rsidR="00436380">
        <w:rPr>
          <w:lang w:eastAsia="en-GB"/>
        </w:rPr>
        <w:t>the Issuers</w:t>
      </w:r>
      <w:r>
        <w:rPr>
          <w:lang w:eastAsia="en-GB"/>
        </w:rPr>
        <w:t xml:space="preserve"> are not eligible for treaty benefits as they are not beneficial owners of income for tax purposes. As this statement destabili</w:t>
      </w:r>
      <w:r w:rsidR="005316AD">
        <w:rPr>
          <w:lang w:eastAsia="en-GB"/>
        </w:rPr>
        <w:t>s</w:t>
      </w:r>
      <w:r>
        <w:rPr>
          <w:lang w:eastAsia="en-GB"/>
        </w:rPr>
        <w:t xml:space="preserve">ed the market, in order to preserve the ability of Russian companies to </w:t>
      </w:r>
      <w:r w:rsidR="005316AD">
        <w:rPr>
          <w:lang w:eastAsia="en-GB"/>
        </w:rPr>
        <w:t>raise funds through</w:t>
      </w:r>
      <w:r>
        <w:rPr>
          <w:lang w:eastAsia="en-GB"/>
        </w:rPr>
        <w:t xml:space="preserve"> Eurobonds, a specific Eurobond exemption was introduced into Russian tax legislation.</w:t>
      </w:r>
    </w:p>
    <w:p w14:paraId="6A42AA2C" w14:textId="77777777" w:rsidR="00421A44" w:rsidRDefault="00421A44" w:rsidP="00421A44">
      <w:pPr>
        <w:tabs>
          <w:tab w:val="left" w:pos="2307"/>
        </w:tabs>
        <w:rPr>
          <w:lang w:eastAsia="en-GB"/>
        </w:rPr>
      </w:pPr>
      <w:r>
        <w:rPr>
          <w:lang w:eastAsia="en-GB"/>
        </w:rPr>
        <w:t>The Eurobond exemption applies where:</w:t>
      </w:r>
    </w:p>
    <w:p w14:paraId="1A8753BF" w14:textId="77777777" w:rsidR="00421A44" w:rsidRDefault="00421A44" w:rsidP="00421A44">
      <w:pPr>
        <w:pStyle w:val="BulletL1"/>
        <w:tabs>
          <w:tab w:val="left" w:pos="2307"/>
        </w:tabs>
        <w:rPr>
          <w:lang w:eastAsia="en-GB"/>
        </w:rPr>
      </w:pPr>
      <w:r>
        <w:rPr>
          <w:lang w:eastAsia="en-GB"/>
        </w:rPr>
        <w:t xml:space="preserve">debt obligations of a Russian </w:t>
      </w:r>
      <w:r w:rsidR="003F42AF">
        <w:rPr>
          <w:lang w:eastAsia="en-GB"/>
        </w:rPr>
        <w:t>company</w:t>
      </w:r>
      <w:r>
        <w:rPr>
          <w:lang w:eastAsia="en-GB"/>
        </w:rPr>
        <w:t xml:space="preserve"> have arisen in connection with the issuance of "trad</w:t>
      </w:r>
      <w:r w:rsidR="005316AD">
        <w:rPr>
          <w:lang w:eastAsia="en-GB"/>
        </w:rPr>
        <w:t>ed bonds" by foreign companies (such as the Issuers)</w:t>
      </w:r>
      <w:r>
        <w:rPr>
          <w:lang w:eastAsia="en-GB"/>
        </w:rPr>
        <w:t>; and</w:t>
      </w:r>
    </w:p>
    <w:p w14:paraId="54A4803B" w14:textId="77777777" w:rsidR="00421A44" w:rsidRDefault="00421A44" w:rsidP="00421A44">
      <w:pPr>
        <w:pStyle w:val="BulletL1"/>
        <w:tabs>
          <w:tab w:val="left" w:pos="2307"/>
        </w:tabs>
        <w:rPr>
          <w:lang w:eastAsia="en-GB"/>
        </w:rPr>
      </w:pPr>
      <w:r>
        <w:rPr>
          <w:lang w:eastAsia="en-GB"/>
        </w:rPr>
        <w:t xml:space="preserve">the </w:t>
      </w:r>
      <w:r w:rsidR="005316AD">
        <w:rPr>
          <w:lang w:eastAsia="en-GB"/>
        </w:rPr>
        <w:t>I</w:t>
      </w:r>
      <w:r>
        <w:rPr>
          <w:lang w:eastAsia="en-GB"/>
        </w:rPr>
        <w:t xml:space="preserve">ssuer (another foreign company authorised to receive interest income, or an assignee of rights and obligations in respect of the "traded bonds" issued by a third party) is tax resident in a jurisdiction which has a double tax treaty with Russia and </w:t>
      </w:r>
      <w:r w:rsidR="005316AD">
        <w:rPr>
          <w:lang w:eastAsia="en-GB"/>
        </w:rPr>
        <w:t xml:space="preserve">its </w:t>
      </w:r>
      <w:r>
        <w:rPr>
          <w:lang w:eastAsia="en-GB"/>
        </w:rPr>
        <w:t>tax residency is confirm</w:t>
      </w:r>
      <w:r w:rsidR="0004533F">
        <w:rPr>
          <w:lang w:eastAsia="en-GB"/>
        </w:rPr>
        <w:t>ed by the relevant certificate.</w:t>
      </w:r>
    </w:p>
    <w:p w14:paraId="45D839F7" w14:textId="71EB7F9C" w:rsidR="00421A44" w:rsidRDefault="00421A44" w:rsidP="00421A44">
      <w:pPr>
        <w:tabs>
          <w:tab w:val="left" w:pos="2307"/>
        </w:tabs>
        <w:rPr>
          <w:lang w:eastAsia="en-GB"/>
        </w:rPr>
      </w:pPr>
      <w:r>
        <w:rPr>
          <w:lang w:eastAsia="en-GB"/>
        </w:rPr>
        <w:lastRenderedPageBreak/>
        <w:t xml:space="preserve">The term "traded bonds" includes notes and other debt obligations listed and/or admitted to </w:t>
      </w:r>
      <w:r w:rsidR="005316AD">
        <w:rPr>
          <w:lang w:eastAsia="en-GB"/>
        </w:rPr>
        <w:t>trading</w:t>
      </w:r>
      <w:r>
        <w:rPr>
          <w:lang w:eastAsia="en-GB"/>
        </w:rPr>
        <w:t xml:space="preserve"> on one or several recognised foreign stock exchanges and/or rights to which are recorded by recognised depository and clearing organi</w:t>
      </w:r>
      <w:r w:rsidR="005316AD">
        <w:rPr>
          <w:lang w:eastAsia="en-GB"/>
        </w:rPr>
        <w:t>s</w:t>
      </w:r>
      <w:r>
        <w:rPr>
          <w:lang w:eastAsia="en-GB"/>
        </w:rPr>
        <w:t xml:space="preserve">ations included in the list approved by the Central Bank. Currently the list includes several dozens of foreign stock exchanges and depository clearing organisations including, </w:t>
      </w:r>
      <w:r w:rsidRPr="00421A44">
        <w:rPr>
          <w:i/>
          <w:lang w:eastAsia="en-GB"/>
        </w:rPr>
        <w:t>inter alia</w:t>
      </w:r>
      <w:r>
        <w:rPr>
          <w:lang w:eastAsia="en-GB"/>
        </w:rPr>
        <w:t>, the Irish</w:t>
      </w:r>
      <w:r w:rsidR="005316AD">
        <w:rPr>
          <w:lang w:eastAsia="en-GB"/>
        </w:rPr>
        <w:t xml:space="preserve"> Stock Exchange, </w:t>
      </w:r>
      <w:proofErr w:type="spellStart"/>
      <w:r w:rsidR="005316AD">
        <w:rPr>
          <w:lang w:eastAsia="en-GB"/>
        </w:rPr>
        <w:t>Euroclear</w:t>
      </w:r>
      <w:proofErr w:type="spellEnd"/>
      <w:r w:rsidR="005316AD">
        <w:rPr>
          <w:lang w:eastAsia="en-GB"/>
        </w:rPr>
        <w:t xml:space="preserve">, </w:t>
      </w:r>
      <w:proofErr w:type="spellStart"/>
      <w:proofErr w:type="gramStart"/>
      <w:r>
        <w:rPr>
          <w:lang w:eastAsia="en-GB"/>
        </w:rPr>
        <w:t>Clearstream</w:t>
      </w:r>
      <w:proofErr w:type="spellEnd"/>
      <w:proofErr w:type="gramEnd"/>
      <w:r w:rsidR="005316AD">
        <w:rPr>
          <w:lang w:eastAsia="en-GB"/>
        </w:rPr>
        <w:t xml:space="preserve"> [and DTC]</w:t>
      </w:r>
      <w:r w:rsidR="008A7E4E">
        <w:rPr>
          <w:lang w:eastAsia="en-GB"/>
        </w:rPr>
        <w:t>.</w:t>
      </w:r>
    </w:p>
    <w:p w14:paraId="13348D1A" w14:textId="77777777" w:rsidR="00421A44" w:rsidRDefault="00421A44" w:rsidP="00421A44">
      <w:pPr>
        <w:tabs>
          <w:tab w:val="left" w:pos="2307"/>
        </w:tabs>
        <w:rPr>
          <w:lang w:eastAsia="en-GB"/>
        </w:rPr>
      </w:pPr>
      <w:r>
        <w:rPr>
          <w:lang w:eastAsia="en-GB"/>
        </w:rPr>
        <w:t>A debt obligation qualifies as being connected with the issuance of "traded bonds" if it is expressly stated as being such in the agreement governing the relevant debt obligation and/or in the terms and conditions and/or the prospectus for the issuance of "traded bonds", or if this fact is confirmed by the actual transfer of funds upon the issuance of "traded bonds".</w:t>
      </w:r>
      <w:r w:rsidR="00F24BEB">
        <w:rPr>
          <w:lang w:eastAsia="en-GB"/>
        </w:rPr>
        <w:t xml:space="preserve"> [Eurobonds customary issued by Russian companies qualify as debt obligation connected with the issuance of "traded bonds" for the purposes of the Eurobond exemption.]</w:t>
      </w:r>
    </w:p>
    <w:p w14:paraId="6215E626" w14:textId="77777777" w:rsidR="005602E7" w:rsidRPr="00925F83" w:rsidRDefault="00421A44" w:rsidP="00421A44">
      <w:pPr>
        <w:tabs>
          <w:tab w:val="left" w:pos="2307"/>
        </w:tabs>
        <w:rPr>
          <w:lang w:eastAsia="en-GB"/>
        </w:rPr>
      </w:pPr>
      <w:r>
        <w:rPr>
          <w:lang w:eastAsia="en-GB"/>
        </w:rPr>
        <w:t xml:space="preserve">The Eurobond exemption applies not only to interest amounts, but also to other payments, including, </w:t>
      </w:r>
      <w:r w:rsidRPr="00421A44">
        <w:rPr>
          <w:i/>
          <w:lang w:eastAsia="en-GB"/>
        </w:rPr>
        <w:t>inter alia</w:t>
      </w:r>
      <w:r w:rsidR="005316AD">
        <w:rPr>
          <w:lang w:eastAsia="en-GB"/>
        </w:rPr>
        <w:t xml:space="preserve">, payments under </w:t>
      </w:r>
      <w:r>
        <w:rPr>
          <w:lang w:eastAsia="en-GB"/>
        </w:rPr>
        <w:t>guarantee</w:t>
      </w:r>
      <w:r w:rsidR="005316AD">
        <w:rPr>
          <w:lang w:eastAsia="en-GB"/>
        </w:rPr>
        <w:t>(s)</w:t>
      </w:r>
      <w:r>
        <w:rPr>
          <w:lang w:eastAsia="en-GB"/>
        </w:rPr>
        <w:t xml:space="preserve"> provided with respect to </w:t>
      </w:r>
      <w:r w:rsidR="003F42AF">
        <w:rPr>
          <w:lang w:eastAsia="en-GB"/>
        </w:rPr>
        <w:t>(1) </w:t>
      </w:r>
      <w:r w:rsidR="005316AD">
        <w:rPr>
          <w:lang w:eastAsia="en-GB"/>
        </w:rPr>
        <w:t xml:space="preserve">the notes issued under the Guaranteed Structure or </w:t>
      </w:r>
      <w:r w:rsidR="003F42AF">
        <w:rPr>
          <w:lang w:eastAsia="en-GB"/>
        </w:rPr>
        <w:t>(2) </w:t>
      </w:r>
      <w:r w:rsidR="005316AD">
        <w:rPr>
          <w:lang w:eastAsia="en-GB"/>
        </w:rPr>
        <w:t xml:space="preserve">the loan </w:t>
      </w:r>
      <w:r w:rsidR="003F42AF">
        <w:rPr>
          <w:lang w:eastAsia="en-GB"/>
        </w:rPr>
        <w:t xml:space="preserve">advanced </w:t>
      </w:r>
      <w:r w:rsidR="005316AD">
        <w:rPr>
          <w:lang w:eastAsia="en-GB"/>
        </w:rPr>
        <w:t>under the LPN Structure</w:t>
      </w:r>
      <w:r>
        <w:rPr>
          <w:lang w:eastAsia="en-GB"/>
        </w:rPr>
        <w:t xml:space="preserve">, provided such payments are contemplated by the terms of the relevant debt obligation, or are made in connection with the terms of the relevant "traded bonds" and/or debt obligation (including the early buy-back or redemption thereof). </w:t>
      </w:r>
      <w:r w:rsidR="003F42AF">
        <w:rPr>
          <w:lang w:eastAsia="en-GB"/>
        </w:rPr>
        <w:t>However,</w:t>
      </w:r>
      <w:r>
        <w:rPr>
          <w:lang w:eastAsia="en-GB"/>
        </w:rPr>
        <w:t xml:space="preserve"> there is still uncertainty as to whether the Eurobond exemption applies to payments under guarantee</w:t>
      </w:r>
      <w:r w:rsidR="003F42AF">
        <w:rPr>
          <w:lang w:eastAsia="en-GB"/>
        </w:rPr>
        <w:t>(</w:t>
      </w:r>
      <w:r>
        <w:rPr>
          <w:lang w:eastAsia="en-GB"/>
        </w:rPr>
        <w:t>s</w:t>
      </w:r>
      <w:r w:rsidR="003F42AF">
        <w:rPr>
          <w:lang w:eastAsia="en-GB"/>
        </w:rPr>
        <w:t>)</w:t>
      </w:r>
      <w:r>
        <w:rPr>
          <w:lang w:eastAsia="en-GB"/>
        </w:rPr>
        <w:t xml:space="preserve"> in the Guaranteed Structure in case the proceeds</w:t>
      </w:r>
      <w:r w:rsidR="003F42AF">
        <w:rPr>
          <w:lang w:eastAsia="en-GB"/>
        </w:rPr>
        <w:t xml:space="preserve"> of issue of notes</w:t>
      </w:r>
      <w:r>
        <w:rPr>
          <w:lang w:eastAsia="en-GB"/>
        </w:rPr>
        <w:t xml:space="preserve"> were not used to provide loans to Russian companies.</w:t>
      </w:r>
    </w:p>
    <w:p w14:paraId="7D2B397C" w14:textId="77777777" w:rsidR="001B08A2" w:rsidRDefault="00421A44" w:rsidP="005602E7">
      <w:pPr>
        <w:tabs>
          <w:tab w:val="left" w:pos="2307"/>
        </w:tabs>
        <w:rPr>
          <w:i/>
          <w:lang w:eastAsia="en-GB"/>
        </w:rPr>
      </w:pPr>
      <w:r w:rsidRPr="00421A44">
        <w:rPr>
          <w:i/>
          <w:lang w:eastAsia="en-GB"/>
        </w:rPr>
        <w:t xml:space="preserve">Expenses </w:t>
      </w:r>
      <w:r>
        <w:rPr>
          <w:i/>
          <w:lang w:eastAsia="en-GB"/>
        </w:rPr>
        <w:t>d</w:t>
      </w:r>
      <w:r w:rsidR="00373983">
        <w:rPr>
          <w:i/>
          <w:lang w:eastAsia="en-GB"/>
        </w:rPr>
        <w:t xml:space="preserve">eductibility </w:t>
      </w:r>
    </w:p>
    <w:p w14:paraId="7E4949A5" w14:textId="77777777" w:rsidR="00421A44" w:rsidRDefault="00421A44" w:rsidP="00421A44">
      <w:pPr>
        <w:tabs>
          <w:tab w:val="left" w:pos="2307"/>
        </w:tabs>
        <w:rPr>
          <w:lang w:eastAsia="en-GB"/>
        </w:rPr>
      </w:pPr>
      <w:r>
        <w:rPr>
          <w:lang w:eastAsia="en-GB"/>
        </w:rPr>
        <w:t xml:space="preserve">Generally, interest expenses are fully deductible for Russian corporate profits tax purposes. Certain deductibility limitations, however, may apply where </w:t>
      </w:r>
      <w:r w:rsidR="003F42AF">
        <w:rPr>
          <w:lang w:eastAsia="en-GB"/>
        </w:rPr>
        <w:t xml:space="preserve">[either] </w:t>
      </w:r>
      <w:r>
        <w:rPr>
          <w:lang w:eastAsia="en-GB"/>
        </w:rPr>
        <w:t>a loan</w:t>
      </w:r>
      <w:r w:rsidR="003F42AF">
        <w:rPr>
          <w:lang w:eastAsia="en-GB"/>
        </w:rPr>
        <w:t xml:space="preserve"> [or a guarantee]</w:t>
      </w:r>
      <w:r>
        <w:rPr>
          <w:lang w:eastAsia="en-GB"/>
        </w:rPr>
        <w:t xml:space="preserve"> </w:t>
      </w:r>
      <w:r w:rsidR="003F42AF">
        <w:rPr>
          <w:lang w:eastAsia="en-GB"/>
        </w:rPr>
        <w:t>is</w:t>
      </w:r>
      <w:r>
        <w:rPr>
          <w:lang w:eastAsia="en-GB"/>
        </w:rPr>
        <w:t xml:space="preserve"> deemed to be a controlled transaction under Russian transfer pricing rules. The latter may </w:t>
      </w:r>
      <w:r w:rsidR="003F42AF">
        <w:rPr>
          <w:lang w:eastAsia="en-GB"/>
        </w:rPr>
        <w:t xml:space="preserve">apply to the </w:t>
      </w:r>
      <w:r>
        <w:rPr>
          <w:lang w:eastAsia="en-GB"/>
        </w:rPr>
        <w:t xml:space="preserve">Guaranteed Structure or </w:t>
      </w:r>
      <w:r w:rsidR="00337190">
        <w:rPr>
          <w:lang w:eastAsia="en-GB"/>
        </w:rPr>
        <w:t>the LPN Structure</w:t>
      </w:r>
      <w:r>
        <w:rPr>
          <w:lang w:eastAsia="en-GB"/>
        </w:rPr>
        <w:t xml:space="preserve">, </w:t>
      </w:r>
      <w:r w:rsidR="003F42AF">
        <w:rPr>
          <w:lang w:eastAsia="en-GB"/>
        </w:rPr>
        <w:t>unless</w:t>
      </w:r>
      <w:r>
        <w:rPr>
          <w:lang w:eastAsia="en-GB"/>
        </w:rPr>
        <w:t xml:space="preserve"> interest rates </w:t>
      </w:r>
      <w:r w:rsidR="003F42AF">
        <w:rPr>
          <w:lang w:eastAsia="en-GB"/>
        </w:rPr>
        <w:t>are</w:t>
      </w:r>
      <w:r>
        <w:rPr>
          <w:lang w:eastAsia="en-GB"/>
        </w:rPr>
        <w:t xml:space="preserve"> either set at market level or within "safe harbours" provided by the Tax Code of the Russian Federation. </w:t>
      </w:r>
    </w:p>
    <w:p w14:paraId="5C9B4C08" w14:textId="77777777" w:rsidR="00421A44" w:rsidRPr="00421A44" w:rsidRDefault="00421A44" w:rsidP="00421A44">
      <w:pPr>
        <w:tabs>
          <w:tab w:val="left" w:pos="2307"/>
        </w:tabs>
        <w:rPr>
          <w:lang w:eastAsia="en-GB"/>
        </w:rPr>
      </w:pPr>
      <w:r>
        <w:rPr>
          <w:lang w:eastAsia="en-GB"/>
        </w:rPr>
        <w:t>Starting from January 2017 Russian thin capitali</w:t>
      </w:r>
      <w:r w:rsidR="003F42AF">
        <w:rPr>
          <w:lang w:eastAsia="en-GB"/>
        </w:rPr>
        <w:t>s</w:t>
      </w:r>
      <w:r>
        <w:rPr>
          <w:lang w:eastAsia="en-GB"/>
        </w:rPr>
        <w:t xml:space="preserve">ation rules will not apply to </w:t>
      </w:r>
      <w:r w:rsidR="00AB0ABE">
        <w:rPr>
          <w:lang w:eastAsia="en-GB"/>
        </w:rPr>
        <w:t xml:space="preserve">the </w:t>
      </w:r>
      <w:r>
        <w:rPr>
          <w:lang w:eastAsia="en-GB"/>
        </w:rPr>
        <w:t xml:space="preserve">loans </w:t>
      </w:r>
      <w:r w:rsidR="00AB0ABE">
        <w:rPr>
          <w:lang w:eastAsia="en-GB"/>
        </w:rPr>
        <w:t>advanced under the LPN Structure</w:t>
      </w:r>
      <w:r>
        <w:rPr>
          <w:lang w:eastAsia="en-GB"/>
        </w:rPr>
        <w:t>. As these are the loans where a connection with issuance of "traded bonds" may be demonstrated, in the absence of such connection (as may be the case with on-lending funds raised through</w:t>
      </w:r>
      <w:r w:rsidR="003F42AF">
        <w:rPr>
          <w:lang w:eastAsia="en-GB"/>
        </w:rPr>
        <w:t xml:space="preserve"> the </w:t>
      </w:r>
      <w:r>
        <w:rPr>
          <w:lang w:eastAsia="en-GB"/>
        </w:rPr>
        <w:t>Guaranteed Struc</w:t>
      </w:r>
      <w:r w:rsidR="00337190">
        <w:rPr>
          <w:lang w:eastAsia="en-GB"/>
        </w:rPr>
        <w:t>ture</w:t>
      </w:r>
      <w:r w:rsidR="003F42AF">
        <w:rPr>
          <w:lang w:eastAsia="en-GB"/>
        </w:rPr>
        <w:t>) application of thin capitalis</w:t>
      </w:r>
      <w:r>
        <w:rPr>
          <w:lang w:eastAsia="en-GB"/>
        </w:rPr>
        <w:t>ation rules may limit interest deductibility and affect availability of withholding exemptions for interest payments under double tax treaties.</w:t>
      </w:r>
      <w:bookmarkStart w:id="0" w:name="_GoBack"/>
      <w:bookmarkEnd w:id="0"/>
    </w:p>
    <w:sectPr w:rsidR="00421A44" w:rsidRPr="00421A44" w:rsidSect="006959E2">
      <w:footerReference w:type="default" r:id="rId8"/>
      <w:footerReference w:type="first" r:id="rId9"/>
      <w:pgSz w:w="11906" w:h="16838" w:code="9"/>
      <w:pgMar w:top="1440" w:right="1440" w:bottom="1440" w:left="1440" w:header="720" w:footer="3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445B55F" w14:textId="77777777" w:rsidR="00714A8B" w:rsidRDefault="00714A8B" w:rsidP="00FD33A2">
      <w:pPr>
        <w:spacing w:after="0"/>
      </w:pPr>
      <w:r>
        <w:separator/>
      </w:r>
    </w:p>
  </w:endnote>
  <w:endnote w:type="continuationSeparator" w:id="0">
    <w:p w14:paraId="12CB6950" w14:textId="77777777" w:rsidR="00714A8B" w:rsidRDefault="00714A8B" w:rsidP="00FD33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0000000000000000000"/>
    <w:charset w:val="86"/>
    <w:family w:val="auto"/>
    <w:notTrueType/>
    <w:pitch w:val="variable"/>
    <w:sig w:usb0="00000001" w:usb1="080E0000" w:usb2="00000010" w:usb3="00000000" w:csb0="00040000"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080"/>
      <w:gridCol w:w="3081"/>
      <w:gridCol w:w="3081"/>
    </w:tblGrid>
    <w:tr w:rsidR="00CD4EB1" w14:paraId="03F0C9E3" w14:textId="77777777" w:rsidTr="00882427">
      <w:sdt>
        <w:sdtPr>
          <w:alias w:val="CCDocID"/>
          <w:id w:val="79530522"/>
          <w:placeholder>
            <w:docPart w:val="DefaultPlaceholder_22675703"/>
          </w:placeholder>
          <w:dataBinding w:prefixMappings="xmlns:ns0='http://schemas.microsoft.com/office/2006/metadata/properties' xmlns:ns1='ec2d46a1-cd00-4a44-8e2f-f3116b971829' " w:xpath="/ns0:properties[1]/documentManagement[1]/ns1:DLCPolicyLabelValue[1]" w:storeItemID="{2EA03C59-90D8-4026-96A1-BB0C2604A9CE}"/>
          <w:text/>
        </w:sdtPr>
        <w:sdtEndPr/>
        <w:sdtContent>
          <w:tc>
            <w:tcPr>
              <w:tcW w:w="3080" w:type="dxa"/>
            </w:tcPr>
            <w:p w14:paraId="65735E46" w14:textId="77777777" w:rsidR="00CD4EB1" w:rsidRDefault="003B2068" w:rsidP="00882427">
              <w:pPr>
                <w:pStyle w:val="a6"/>
              </w:pPr>
              <w:r>
                <w:rPr>
                  <w:lang w:val="ru-RU"/>
                </w:rPr>
                <w:t>24311-3-7913-v0.11</w:t>
              </w:r>
            </w:p>
          </w:tc>
        </w:sdtContent>
      </w:sdt>
      <w:tc>
        <w:tcPr>
          <w:tcW w:w="3081" w:type="dxa"/>
        </w:tcPr>
        <w:p w14:paraId="15F48909" w14:textId="77777777" w:rsidR="00CD4EB1" w:rsidRPr="00882427" w:rsidRDefault="00CD4EB1" w:rsidP="00882427">
          <w:pPr>
            <w:pStyle w:val="a6"/>
            <w:jc w:val="center"/>
            <w:rPr>
              <w:rStyle w:val="afa"/>
            </w:rPr>
          </w:pPr>
          <w:r>
            <w:rPr>
              <w:rStyle w:val="afa"/>
            </w:rPr>
            <w:t xml:space="preserve">- </w:t>
          </w:r>
          <w:r w:rsidR="00945299">
            <w:rPr>
              <w:rStyle w:val="afa"/>
            </w:rPr>
            <w:fldChar w:fldCharType="begin"/>
          </w:r>
          <w:r>
            <w:rPr>
              <w:rStyle w:val="afa"/>
            </w:rPr>
            <w:instrText xml:space="preserve"> PAGE  \* MERGEFORMAT </w:instrText>
          </w:r>
          <w:r w:rsidR="00945299">
            <w:rPr>
              <w:rStyle w:val="afa"/>
            </w:rPr>
            <w:fldChar w:fldCharType="separate"/>
          </w:r>
          <w:r w:rsidR="008A7E4E">
            <w:rPr>
              <w:rStyle w:val="afa"/>
              <w:noProof/>
            </w:rPr>
            <w:t>7</w:t>
          </w:r>
          <w:r w:rsidR="00945299">
            <w:rPr>
              <w:rStyle w:val="afa"/>
            </w:rPr>
            <w:fldChar w:fldCharType="end"/>
          </w:r>
          <w:r>
            <w:rPr>
              <w:rStyle w:val="afa"/>
            </w:rPr>
            <w:t xml:space="preserve"> -</w:t>
          </w:r>
        </w:p>
      </w:tc>
      <w:tc>
        <w:tcPr>
          <w:tcW w:w="3081" w:type="dxa"/>
        </w:tcPr>
        <w:p w14:paraId="6139DD6F" w14:textId="77777777" w:rsidR="00CD4EB1" w:rsidRDefault="00FD4CE9" w:rsidP="00882427">
          <w:pPr>
            <w:pStyle w:val="FooterRight"/>
          </w:pPr>
          <w:r>
            <w:t>RU-6000</w:t>
          </w:r>
        </w:p>
      </w:tc>
    </w:tr>
  </w:tbl>
  <w:p w14:paraId="477DC5C8" w14:textId="77777777" w:rsidR="00CD4EB1" w:rsidRPr="00FF592B" w:rsidRDefault="00CD4EB1" w:rsidP="0088650C">
    <w:pPr>
      <w:pStyle w:val="a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080"/>
      <w:gridCol w:w="3081"/>
      <w:gridCol w:w="3081"/>
    </w:tblGrid>
    <w:tr w:rsidR="00CD4EB1" w14:paraId="5F75B314" w14:textId="77777777" w:rsidTr="00882427">
      <w:sdt>
        <w:sdtPr>
          <w:alias w:val="CCDocID"/>
          <w:id w:val="79530527"/>
          <w:placeholder>
            <w:docPart w:val="DefaultPlaceholder_22675703"/>
          </w:placeholder>
          <w:dataBinding w:prefixMappings="xmlns:ns0='http://schemas.microsoft.com/office/2006/metadata/properties' xmlns:ns1='ec2d46a1-cd00-4a44-8e2f-f3116b971829' " w:xpath="/ns0:properties[1]/documentManagement[1]/ns1:DLCPolicyLabelValue[1]" w:storeItemID="{2EA03C59-90D8-4026-96A1-BB0C2604A9CE}"/>
          <w:text/>
        </w:sdtPr>
        <w:sdtEndPr/>
        <w:sdtContent>
          <w:tc>
            <w:tcPr>
              <w:tcW w:w="3080" w:type="dxa"/>
            </w:tcPr>
            <w:p w14:paraId="4D4FA232" w14:textId="77777777" w:rsidR="00CD4EB1" w:rsidRDefault="003B2068" w:rsidP="00882427">
              <w:pPr>
                <w:pStyle w:val="a6"/>
              </w:pPr>
              <w:r>
                <w:rPr>
                  <w:lang w:val="ru-RU"/>
                </w:rPr>
                <w:t>24311-3-7913-v0.11</w:t>
              </w:r>
            </w:p>
          </w:tc>
        </w:sdtContent>
      </w:sdt>
      <w:tc>
        <w:tcPr>
          <w:tcW w:w="3081" w:type="dxa"/>
        </w:tcPr>
        <w:p w14:paraId="030E2C3D" w14:textId="77777777" w:rsidR="00CD4EB1" w:rsidRPr="00882427" w:rsidRDefault="00CD4EB1" w:rsidP="00882427">
          <w:pPr>
            <w:pStyle w:val="a6"/>
            <w:jc w:val="center"/>
            <w:rPr>
              <w:rStyle w:val="afa"/>
            </w:rPr>
          </w:pPr>
          <w:r>
            <w:rPr>
              <w:rStyle w:val="afa"/>
            </w:rPr>
            <w:t xml:space="preserve">- </w:t>
          </w:r>
          <w:r w:rsidR="00945299">
            <w:rPr>
              <w:rStyle w:val="afa"/>
            </w:rPr>
            <w:fldChar w:fldCharType="begin"/>
          </w:r>
          <w:r>
            <w:rPr>
              <w:rStyle w:val="afa"/>
            </w:rPr>
            <w:instrText xml:space="preserve"> PAGE  \* MERGEFORMAT </w:instrText>
          </w:r>
          <w:r w:rsidR="00945299">
            <w:rPr>
              <w:rStyle w:val="afa"/>
            </w:rPr>
            <w:fldChar w:fldCharType="separate"/>
          </w:r>
          <w:r w:rsidR="00055387">
            <w:rPr>
              <w:rStyle w:val="afa"/>
              <w:noProof/>
            </w:rPr>
            <w:t>1</w:t>
          </w:r>
          <w:r w:rsidR="00945299">
            <w:rPr>
              <w:rStyle w:val="afa"/>
            </w:rPr>
            <w:fldChar w:fldCharType="end"/>
          </w:r>
          <w:r>
            <w:rPr>
              <w:rStyle w:val="afa"/>
            </w:rPr>
            <w:t xml:space="preserve"> -</w:t>
          </w:r>
        </w:p>
      </w:tc>
      <w:tc>
        <w:tcPr>
          <w:tcW w:w="3081" w:type="dxa"/>
        </w:tcPr>
        <w:p w14:paraId="51C3CBFE" w14:textId="77777777" w:rsidR="00CD4EB1" w:rsidRDefault="00FD4CE9" w:rsidP="00882427">
          <w:pPr>
            <w:pStyle w:val="FooterRight"/>
          </w:pPr>
          <w:r>
            <w:t>RU-6000</w:t>
          </w:r>
        </w:p>
      </w:tc>
    </w:tr>
  </w:tbl>
  <w:p w14:paraId="4163F503" w14:textId="77777777" w:rsidR="00CD4EB1" w:rsidRPr="00FF592B" w:rsidRDefault="00CD4EB1" w:rsidP="00D7695C">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B95AC17" w14:textId="77777777" w:rsidR="00714A8B" w:rsidRDefault="00714A8B" w:rsidP="00FD33A2">
      <w:pPr>
        <w:spacing w:after="0"/>
      </w:pPr>
      <w:r>
        <w:separator/>
      </w:r>
    </w:p>
  </w:footnote>
  <w:footnote w:type="continuationSeparator" w:id="0">
    <w:p w14:paraId="16F0618A" w14:textId="77777777" w:rsidR="00714A8B" w:rsidRDefault="00714A8B" w:rsidP="00FD33A2">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784029D"/>
    <w:multiLevelType w:val="hybridMultilevel"/>
    <w:tmpl w:val="E60CE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05CBE"/>
    <w:multiLevelType w:val="multilevel"/>
    <w:tmpl w:val="58DC8476"/>
    <w:name w:val="ecc8c37a-b7c8-4209-b8c1-f06c55ca91ee"/>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
    <w:nsid w:val="25195CAD"/>
    <w:multiLevelType w:val="multilevel"/>
    <w:tmpl w:val="BB80C746"/>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3">
    <w:nsid w:val="3DEA7CBD"/>
    <w:multiLevelType w:val="hybridMultilevel"/>
    <w:tmpl w:val="7994B3BA"/>
    <w:lvl w:ilvl="0" w:tplc="97BED0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EC3EDE"/>
    <w:multiLevelType w:val="multilevel"/>
    <w:tmpl w:val="2116A76E"/>
    <w:name w:val="171bedba-c3fd-447c-996f-4c21d8657961"/>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5">
    <w:nsid w:val="513A757E"/>
    <w:multiLevelType w:val="hybridMultilevel"/>
    <w:tmpl w:val="488A6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11A6C6B"/>
    <w:multiLevelType w:val="hybridMultilevel"/>
    <w:tmpl w:val="11962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4F0377"/>
    <w:multiLevelType w:val="multilevel"/>
    <w:tmpl w:val="665A1B4C"/>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8">
    <w:nsid w:val="6C23537A"/>
    <w:multiLevelType w:val="hybridMultilevel"/>
    <w:tmpl w:val="1F8A749E"/>
    <w:lvl w:ilvl="0" w:tplc="0809000F">
      <w:start w:val="1"/>
      <w:numFmt w:val="decimal"/>
      <w:lvlText w:val="%1."/>
      <w:lvlJc w:val="left"/>
      <w:pPr>
        <w:ind w:left="720" w:hanging="360"/>
      </w:pPr>
      <w:rPr>
        <w:rFonts w:hint="default"/>
      </w:rPr>
    </w:lvl>
    <w:lvl w:ilvl="1" w:tplc="6F9052AC">
      <w:start w:val="1"/>
      <w:numFmt w:val="bullet"/>
      <w:lvlText w:val="-"/>
      <w:lvlJc w:val="left"/>
      <w:pPr>
        <w:ind w:left="1440" w:hanging="360"/>
      </w:pPr>
      <w:rPr>
        <w:rFonts w:ascii="Times New Roman" w:eastAsiaTheme="minorHAns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BFA78BB"/>
    <w:multiLevelType w:val="multilevel"/>
    <w:tmpl w:val="48D68622"/>
    <w:name w:val="f33a5415-1397-4e5c-9bfe-5e29bd1585a7"/>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
  </w:num>
  <w:num w:numId="2">
    <w:abstractNumId w:val="7"/>
  </w:num>
  <w:num w:numId="3">
    <w:abstractNumId w:val="6"/>
  </w:num>
  <w:num w:numId="4">
    <w:abstractNumId w:val="0"/>
  </w:num>
  <w:num w:numId="5">
    <w:abstractNumId w:val="3"/>
  </w:num>
  <w:num w:numId="6">
    <w:abstractNumId w:val="5"/>
  </w:num>
  <w:num w:numId="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2"/>
  </w:compat>
  <w:rsids>
    <w:rsidRoot w:val="00100076"/>
    <w:rsid w:val="00014177"/>
    <w:rsid w:val="00025DCA"/>
    <w:rsid w:val="00026240"/>
    <w:rsid w:val="000331D2"/>
    <w:rsid w:val="0004533F"/>
    <w:rsid w:val="000467A2"/>
    <w:rsid w:val="00047D57"/>
    <w:rsid w:val="00054CFB"/>
    <w:rsid w:val="00055387"/>
    <w:rsid w:val="00056B72"/>
    <w:rsid w:val="00060EB3"/>
    <w:rsid w:val="00061384"/>
    <w:rsid w:val="00073D24"/>
    <w:rsid w:val="000757C6"/>
    <w:rsid w:val="00080812"/>
    <w:rsid w:val="0008458E"/>
    <w:rsid w:val="000949BC"/>
    <w:rsid w:val="000A2763"/>
    <w:rsid w:val="000A56F0"/>
    <w:rsid w:val="000A6B5A"/>
    <w:rsid w:val="000B0AE2"/>
    <w:rsid w:val="000B1867"/>
    <w:rsid w:val="000B6F4E"/>
    <w:rsid w:val="000C0882"/>
    <w:rsid w:val="000D023E"/>
    <w:rsid w:val="000D2F6B"/>
    <w:rsid w:val="000E16F7"/>
    <w:rsid w:val="000E2953"/>
    <w:rsid w:val="000E5BEE"/>
    <w:rsid w:val="00100076"/>
    <w:rsid w:val="00101F03"/>
    <w:rsid w:val="0010308E"/>
    <w:rsid w:val="001207C2"/>
    <w:rsid w:val="00124221"/>
    <w:rsid w:val="001249E2"/>
    <w:rsid w:val="0013041C"/>
    <w:rsid w:val="00144CF9"/>
    <w:rsid w:val="001532B1"/>
    <w:rsid w:val="00165CC4"/>
    <w:rsid w:val="001666ED"/>
    <w:rsid w:val="00167A4F"/>
    <w:rsid w:val="00176C3E"/>
    <w:rsid w:val="001910CE"/>
    <w:rsid w:val="00195F42"/>
    <w:rsid w:val="001A4597"/>
    <w:rsid w:val="001A5BE4"/>
    <w:rsid w:val="001A60AB"/>
    <w:rsid w:val="001A73D2"/>
    <w:rsid w:val="001B08A2"/>
    <w:rsid w:val="001B1143"/>
    <w:rsid w:val="001C1261"/>
    <w:rsid w:val="001C7BBB"/>
    <w:rsid w:val="001D2091"/>
    <w:rsid w:val="001D5B13"/>
    <w:rsid w:val="001D64DE"/>
    <w:rsid w:val="001D78C1"/>
    <w:rsid w:val="001D79BD"/>
    <w:rsid w:val="001D79D5"/>
    <w:rsid w:val="001E6689"/>
    <w:rsid w:val="001F0045"/>
    <w:rsid w:val="001F145E"/>
    <w:rsid w:val="001F2B35"/>
    <w:rsid w:val="001F7E47"/>
    <w:rsid w:val="0020061C"/>
    <w:rsid w:val="002141DA"/>
    <w:rsid w:val="00216B90"/>
    <w:rsid w:val="00227814"/>
    <w:rsid w:val="00231A38"/>
    <w:rsid w:val="00233CF6"/>
    <w:rsid w:val="00257273"/>
    <w:rsid w:val="00267431"/>
    <w:rsid w:val="00273201"/>
    <w:rsid w:val="00274741"/>
    <w:rsid w:val="00276D03"/>
    <w:rsid w:val="00281446"/>
    <w:rsid w:val="002839E1"/>
    <w:rsid w:val="00286C00"/>
    <w:rsid w:val="00290AC3"/>
    <w:rsid w:val="002A1CE6"/>
    <w:rsid w:val="002A5E2F"/>
    <w:rsid w:val="002A6473"/>
    <w:rsid w:val="002A6AE9"/>
    <w:rsid w:val="002B016D"/>
    <w:rsid w:val="002B2278"/>
    <w:rsid w:val="002C2204"/>
    <w:rsid w:val="002C3601"/>
    <w:rsid w:val="002C62CE"/>
    <w:rsid w:val="002D06D6"/>
    <w:rsid w:val="002D4161"/>
    <w:rsid w:val="002D6344"/>
    <w:rsid w:val="002E5FA3"/>
    <w:rsid w:val="002F2531"/>
    <w:rsid w:val="00301575"/>
    <w:rsid w:val="003046D6"/>
    <w:rsid w:val="00320DB5"/>
    <w:rsid w:val="00321706"/>
    <w:rsid w:val="003266BC"/>
    <w:rsid w:val="00335D80"/>
    <w:rsid w:val="00336619"/>
    <w:rsid w:val="00337190"/>
    <w:rsid w:val="003420AE"/>
    <w:rsid w:val="00346143"/>
    <w:rsid w:val="00372404"/>
    <w:rsid w:val="00372A05"/>
    <w:rsid w:val="00373983"/>
    <w:rsid w:val="00377759"/>
    <w:rsid w:val="0038018C"/>
    <w:rsid w:val="00382BFA"/>
    <w:rsid w:val="0038382D"/>
    <w:rsid w:val="00386AC0"/>
    <w:rsid w:val="00394B28"/>
    <w:rsid w:val="00395F64"/>
    <w:rsid w:val="003A6930"/>
    <w:rsid w:val="003B2068"/>
    <w:rsid w:val="003B2352"/>
    <w:rsid w:val="003B43E1"/>
    <w:rsid w:val="003C0C0E"/>
    <w:rsid w:val="003C0E7B"/>
    <w:rsid w:val="003C1197"/>
    <w:rsid w:val="003C5F4A"/>
    <w:rsid w:val="003E236A"/>
    <w:rsid w:val="003F42AF"/>
    <w:rsid w:val="003F5F47"/>
    <w:rsid w:val="00402CEA"/>
    <w:rsid w:val="00404B37"/>
    <w:rsid w:val="00406103"/>
    <w:rsid w:val="00406B2E"/>
    <w:rsid w:val="004130D1"/>
    <w:rsid w:val="004136F3"/>
    <w:rsid w:val="004153F4"/>
    <w:rsid w:val="00421A44"/>
    <w:rsid w:val="0043361E"/>
    <w:rsid w:val="004337F2"/>
    <w:rsid w:val="00436380"/>
    <w:rsid w:val="0045006A"/>
    <w:rsid w:val="004530DB"/>
    <w:rsid w:val="004536F4"/>
    <w:rsid w:val="00461A1A"/>
    <w:rsid w:val="004625FC"/>
    <w:rsid w:val="004627B2"/>
    <w:rsid w:val="00464817"/>
    <w:rsid w:val="00473B5E"/>
    <w:rsid w:val="0049348C"/>
    <w:rsid w:val="004A0699"/>
    <w:rsid w:val="004A234C"/>
    <w:rsid w:val="004A2D26"/>
    <w:rsid w:val="004A796A"/>
    <w:rsid w:val="004B0D39"/>
    <w:rsid w:val="004B2E68"/>
    <w:rsid w:val="004B7F66"/>
    <w:rsid w:val="004C1B6F"/>
    <w:rsid w:val="004C6206"/>
    <w:rsid w:val="004C65C1"/>
    <w:rsid w:val="004C766A"/>
    <w:rsid w:val="004C7B3B"/>
    <w:rsid w:val="004C7F8A"/>
    <w:rsid w:val="004D2757"/>
    <w:rsid w:val="004E0B16"/>
    <w:rsid w:val="004E1CA0"/>
    <w:rsid w:val="004E2EA9"/>
    <w:rsid w:val="004F6C1B"/>
    <w:rsid w:val="00505CC3"/>
    <w:rsid w:val="00516894"/>
    <w:rsid w:val="00517331"/>
    <w:rsid w:val="00525F0A"/>
    <w:rsid w:val="0053035A"/>
    <w:rsid w:val="005316AD"/>
    <w:rsid w:val="005345B9"/>
    <w:rsid w:val="0053539C"/>
    <w:rsid w:val="005359BF"/>
    <w:rsid w:val="00537F50"/>
    <w:rsid w:val="00541694"/>
    <w:rsid w:val="00546B23"/>
    <w:rsid w:val="005515E1"/>
    <w:rsid w:val="00552E63"/>
    <w:rsid w:val="00555464"/>
    <w:rsid w:val="005602E7"/>
    <w:rsid w:val="00561CD9"/>
    <w:rsid w:val="005669B2"/>
    <w:rsid w:val="00567B34"/>
    <w:rsid w:val="00577118"/>
    <w:rsid w:val="00580C5A"/>
    <w:rsid w:val="00580EF4"/>
    <w:rsid w:val="005914C0"/>
    <w:rsid w:val="00593D90"/>
    <w:rsid w:val="005A0402"/>
    <w:rsid w:val="005A0506"/>
    <w:rsid w:val="005A0635"/>
    <w:rsid w:val="005A40FB"/>
    <w:rsid w:val="005A57B3"/>
    <w:rsid w:val="005B07F6"/>
    <w:rsid w:val="005B2A8A"/>
    <w:rsid w:val="005C436E"/>
    <w:rsid w:val="005E6533"/>
    <w:rsid w:val="005F04F2"/>
    <w:rsid w:val="0060241B"/>
    <w:rsid w:val="006052C5"/>
    <w:rsid w:val="00614339"/>
    <w:rsid w:val="0061556E"/>
    <w:rsid w:val="006167B2"/>
    <w:rsid w:val="00623BBD"/>
    <w:rsid w:val="0062491A"/>
    <w:rsid w:val="00626CA0"/>
    <w:rsid w:val="0063198D"/>
    <w:rsid w:val="0063361B"/>
    <w:rsid w:val="006345DC"/>
    <w:rsid w:val="0064013D"/>
    <w:rsid w:val="00644647"/>
    <w:rsid w:val="0064641F"/>
    <w:rsid w:val="00656F9E"/>
    <w:rsid w:val="00660FDA"/>
    <w:rsid w:val="006636E0"/>
    <w:rsid w:val="006711CB"/>
    <w:rsid w:val="00671666"/>
    <w:rsid w:val="00676A90"/>
    <w:rsid w:val="00677FF4"/>
    <w:rsid w:val="00681D12"/>
    <w:rsid w:val="006832EA"/>
    <w:rsid w:val="00690C11"/>
    <w:rsid w:val="00693F4A"/>
    <w:rsid w:val="006947DE"/>
    <w:rsid w:val="006959E2"/>
    <w:rsid w:val="006A4966"/>
    <w:rsid w:val="006A70D8"/>
    <w:rsid w:val="006B0074"/>
    <w:rsid w:val="006B2543"/>
    <w:rsid w:val="006B2910"/>
    <w:rsid w:val="006C34AD"/>
    <w:rsid w:val="006E68BE"/>
    <w:rsid w:val="006F4685"/>
    <w:rsid w:val="006F4D45"/>
    <w:rsid w:val="006F51B8"/>
    <w:rsid w:val="006F5833"/>
    <w:rsid w:val="006F6FB1"/>
    <w:rsid w:val="0070069D"/>
    <w:rsid w:val="007058B5"/>
    <w:rsid w:val="00714A8B"/>
    <w:rsid w:val="00716BCD"/>
    <w:rsid w:val="007330EA"/>
    <w:rsid w:val="00742235"/>
    <w:rsid w:val="0075160C"/>
    <w:rsid w:val="0075496D"/>
    <w:rsid w:val="00754DD5"/>
    <w:rsid w:val="00772BBA"/>
    <w:rsid w:val="00774F43"/>
    <w:rsid w:val="00787ADE"/>
    <w:rsid w:val="00791DDD"/>
    <w:rsid w:val="00793A34"/>
    <w:rsid w:val="0079564E"/>
    <w:rsid w:val="007A4BD0"/>
    <w:rsid w:val="007A50AC"/>
    <w:rsid w:val="007A7476"/>
    <w:rsid w:val="007B0D55"/>
    <w:rsid w:val="007B1690"/>
    <w:rsid w:val="007B689A"/>
    <w:rsid w:val="007C0956"/>
    <w:rsid w:val="007C6A66"/>
    <w:rsid w:val="007D0FBE"/>
    <w:rsid w:val="007D17AC"/>
    <w:rsid w:val="007D6F4F"/>
    <w:rsid w:val="007E06A2"/>
    <w:rsid w:val="007E3125"/>
    <w:rsid w:val="007E4FCF"/>
    <w:rsid w:val="007E5320"/>
    <w:rsid w:val="007F0F71"/>
    <w:rsid w:val="00810A8B"/>
    <w:rsid w:val="00810B87"/>
    <w:rsid w:val="00814A62"/>
    <w:rsid w:val="00821DFD"/>
    <w:rsid w:val="0082481B"/>
    <w:rsid w:val="0082500F"/>
    <w:rsid w:val="008276B2"/>
    <w:rsid w:val="00835425"/>
    <w:rsid w:val="00837CF5"/>
    <w:rsid w:val="00846391"/>
    <w:rsid w:val="00847CA1"/>
    <w:rsid w:val="0085202F"/>
    <w:rsid w:val="00855015"/>
    <w:rsid w:val="0086548F"/>
    <w:rsid w:val="00870BCC"/>
    <w:rsid w:val="00875592"/>
    <w:rsid w:val="00882427"/>
    <w:rsid w:val="00883CA6"/>
    <w:rsid w:val="0088650C"/>
    <w:rsid w:val="00887DB8"/>
    <w:rsid w:val="00887F51"/>
    <w:rsid w:val="0089174A"/>
    <w:rsid w:val="008A7E4E"/>
    <w:rsid w:val="008B1E60"/>
    <w:rsid w:val="008C2EF1"/>
    <w:rsid w:val="008C61D9"/>
    <w:rsid w:val="008E0570"/>
    <w:rsid w:val="008E0F2E"/>
    <w:rsid w:val="008E681C"/>
    <w:rsid w:val="008F0DB3"/>
    <w:rsid w:val="008F4D34"/>
    <w:rsid w:val="00906C04"/>
    <w:rsid w:val="00916D4F"/>
    <w:rsid w:val="00920376"/>
    <w:rsid w:val="0092285C"/>
    <w:rsid w:val="00923F42"/>
    <w:rsid w:val="00923FB1"/>
    <w:rsid w:val="00925F83"/>
    <w:rsid w:val="00926FD4"/>
    <w:rsid w:val="00931C72"/>
    <w:rsid w:val="00944900"/>
    <w:rsid w:val="00945299"/>
    <w:rsid w:val="00957F96"/>
    <w:rsid w:val="00960372"/>
    <w:rsid w:val="00976F86"/>
    <w:rsid w:val="00981ECC"/>
    <w:rsid w:val="009848B0"/>
    <w:rsid w:val="00986BEE"/>
    <w:rsid w:val="009873EC"/>
    <w:rsid w:val="00991AE4"/>
    <w:rsid w:val="00993E9A"/>
    <w:rsid w:val="009B329F"/>
    <w:rsid w:val="009B71D0"/>
    <w:rsid w:val="009C194B"/>
    <w:rsid w:val="009C3B02"/>
    <w:rsid w:val="009D41F7"/>
    <w:rsid w:val="009F07F0"/>
    <w:rsid w:val="009F1CCE"/>
    <w:rsid w:val="009F7CE6"/>
    <w:rsid w:val="00A04ADA"/>
    <w:rsid w:val="00A0586D"/>
    <w:rsid w:val="00A438AF"/>
    <w:rsid w:val="00A51D96"/>
    <w:rsid w:val="00A61755"/>
    <w:rsid w:val="00A645EE"/>
    <w:rsid w:val="00A64C9C"/>
    <w:rsid w:val="00A672DE"/>
    <w:rsid w:val="00A67D54"/>
    <w:rsid w:val="00A72967"/>
    <w:rsid w:val="00A81DE5"/>
    <w:rsid w:val="00A85B82"/>
    <w:rsid w:val="00AA1840"/>
    <w:rsid w:val="00AA2E45"/>
    <w:rsid w:val="00AA4CA3"/>
    <w:rsid w:val="00AB0ABE"/>
    <w:rsid w:val="00AD27A3"/>
    <w:rsid w:val="00AD571F"/>
    <w:rsid w:val="00AE0632"/>
    <w:rsid w:val="00AE0B8D"/>
    <w:rsid w:val="00AE7A27"/>
    <w:rsid w:val="00AF1512"/>
    <w:rsid w:val="00AF73A5"/>
    <w:rsid w:val="00B10087"/>
    <w:rsid w:val="00B14432"/>
    <w:rsid w:val="00B153BB"/>
    <w:rsid w:val="00B228C8"/>
    <w:rsid w:val="00B37BC5"/>
    <w:rsid w:val="00B404D5"/>
    <w:rsid w:val="00B4667E"/>
    <w:rsid w:val="00B46E13"/>
    <w:rsid w:val="00B55196"/>
    <w:rsid w:val="00B5610C"/>
    <w:rsid w:val="00B61B60"/>
    <w:rsid w:val="00B63213"/>
    <w:rsid w:val="00B743AD"/>
    <w:rsid w:val="00B74517"/>
    <w:rsid w:val="00B870DB"/>
    <w:rsid w:val="00B87117"/>
    <w:rsid w:val="00BA0A67"/>
    <w:rsid w:val="00BA0FD6"/>
    <w:rsid w:val="00BA19B0"/>
    <w:rsid w:val="00BB32E7"/>
    <w:rsid w:val="00BC1D29"/>
    <w:rsid w:val="00BC33E6"/>
    <w:rsid w:val="00BC5B77"/>
    <w:rsid w:val="00BC6C0B"/>
    <w:rsid w:val="00BC7E23"/>
    <w:rsid w:val="00BD0FF0"/>
    <w:rsid w:val="00BE1172"/>
    <w:rsid w:val="00BE397A"/>
    <w:rsid w:val="00BF240D"/>
    <w:rsid w:val="00C15409"/>
    <w:rsid w:val="00C16E4F"/>
    <w:rsid w:val="00C208A3"/>
    <w:rsid w:val="00C25586"/>
    <w:rsid w:val="00C43030"/>
    <w:rsid w:val="00C45B05"/>
    <w:rsid w:val="00C47FF2"/>
    <w:rsid w:val="00C62EEB"/>
    <w:rsid w:val="00C6524F"/>
    <w:rsid w:val="00C666D9"/>
    <w:rsid w:val="00C66D2B"/>
    <w:rsid w:val="00C66F18"/>
    <w:rsid w:val="00C8038A"/>
    <w:rsid w:val="00C864AD"/>
    <w:rsid w:val="00C95FCC"/>
    <w:rsid w:val="00CA2DBF"/>
    <w:rsid w:val="00CA3083"/>
    <w:rsid w:val="00CA427C"/>
    <w:rsid w:val="00CB4B47"/>
    <w:rsid w:val="00CC23D3"/>
    <w:rsid w:val="00CC2E97"/>
    <w:rsid w:val="00CD1C9A"/>
    <w:rsid w:val="00CD4EB1"/>
    <w:rsid w:val="00CE475C"/>
    <w:rsid w:val="00CE6FCC"/>
    <w:rsid w:val="00CF0C2E"/>
    <w:rsid w:val="00CF330F"/>
    <w:rsid w:val="00D07034"/>
    <w:rsid w:val="00D12B84"/>
    <w:rsid w:val="00D12F65"/>
    <w:rsid w:val="00D16A2B"/>
    <w:rsid w:val="00D208F3"/>
    <w:rsid w:val="00D250AD"/>
    <w:rsid w:val="00D270F7"/>
    <w:rsid w:val="00D33F1D"/>
    <w:rsid w:val="00D430E9"/>
    <w:rsid w:val="00D4320C"/>
    <w:rsid w:val="00D43A04"/>
    <w:rsid w:val="00D47785"/>
    <w:rsid w:val="00D65658"/>
    <w:rsid w:val="00D67C4D"/>
    <w:rsid w:val="00D768A2"/>
    <w:rsid w:val="00D7695C"/>
    <w:rsid w:val="00D8341D"/>
    <w:rsid w:val="00D85807"/>
    <w:rsid w:val="00D94955"/>
    <w:rsid w:val="00DA2299"/>
    <w:rsid w:val="00DC26A1"/>
    <w:rsid w:val="00DC572B"/>
    <w:rsid w:val="00DC79E3"/>
    <w:rsid w:val="00DD132D"/>
    <w:rsid w:val="00DD3471"/>
    <w:rsid w:val="00DD42A7"/>
    <w:rsid w:val="00DE2D22"/>
    <w:rsid w:val="00DE4684"/>
    <w:rsid w:val="00DE6053"/>
    <w:rsid w:val="00DF3A0C"/>
    <w:rsid w:val="00DF58D4"/>
    <w:rsid w:val="00DF5ACD"/>
    <w:rsid w:val="00DF7809"/>
    <w:rsid w:val="00DF7A81"/>
    <w:rsid w:val="00E06911"/>
    <w:rsid w:val="00E072DE"/>
    <w:rsid w:val="00E07323"/>
    <w:rsid w:val="00E20733"/>
    <w:rsid w:val="00E2571C"/>
    <w:rsid w:val="00E304D8"/>
    <w:rsid w:val="00E33A78"/>
    <w:rsid w:val="00E556AF"/>
    <w:rsid w:val="00E61031"/>
    <w:rsid w:val="00E67934"/>
    <w:rsid w:val="00E70973"/>
    <w:rsid w:val="00E70B13"/>
    <w:rsid w:val="00E747C7"/>
    <w:rsid w:val="00E84EE9"/>
    <w:rsid w:val="00E86F5B"/>
    <w:rsid w:val="00E940DD"/>
    <w:rsid w:val="00E959F3"/>
    <w:rsid w:val="00EA2BF5"/>
    <w:rsid w:val="00EB4D85"/>
    <w:rsid w:val="00EC5506"/>
    <w:rsid w:val="00ED31ED"/>
    <w:rsid w:val="00ED3D33"/>
    <w:rsid w:val="00ED71B8"/>
    <w:rsid w:val="00EE140F"/>
    <w:rsid w:val="00EE1D0C"/>
    <w:rsid w:val="00EE7914"/>
    <w:rsid w:val="00EE7CEE"/>
    <w:rsid w:val="00EF0C30"/>
    <w:rsid w:val="00EF6A03"/>
    <w:rsid w:val="00F015DB"/>
    <w:rsid w:val="00F01B75"/>
    <w:rsid w:val="00F0369A"/>
    <w:rsid w:val="00F10B1B"/>
    <w:rsid w:val="00F11394"/>
    <w:rsid w:val="00F1218A"/>
    <w:rsid w:val="00F12EE5"/>
    <w:rsid w:val="00F2112F"/>
    <w:rsid w:val="00F224E4"/>
    <w:rsid w:val="00F24BEB"/>
    <w:rsid w:val="00F27D23"/>
    <w:rsid w:val="00F320F0"/>
    <w:rsid w:val="00F324CE"/>
    <w:rsid w:val="00F36DA7"/>
    <w:rsid w:val="00F40ADE"/>
    <w:rsid w:val="00F54609"/>
    <w:rsid w:val="00F667D5"/>
    <w:rsid w:val="00F67BE0"/>
    <w:rsid w:val="00F736CE"/>
    <w:rsid w:val="00F73E0D"/>
    <w:rsid w:val="00F7409C"/>
    <w:rsid w:val="00F808D3"/>
    <w:rsid w:val="00F8591E"/>
    <w:rsid w:val="00F91067"/>
    <w:rsid w:val="00F91DA3"/>
    <w:rsid w:val="00F93F20"/>
    <w:rsid w:val="00F9741C"/>
    <w:rsid w:val="00F97FC9"/>
    <w:rsid w:val="00FA1FEC"/>
    <w:rsid w:val="00FA2946"/>
    <w:rsid w:val="00FA31DD"/>
    <w:rsid w:val="00FA613F"/>
    <w:rsid w:val="00FB074E"/>
    <w:rsid w:val="00FB4F9B"/>
    <w:rsid w:val="00FB5A2A"/>
    <w:rsid w:val="00FC09A9"/>
    <w:rsid w:val="00FC25F0"/>
    <w:rsid w:val="00FD23CD"/>
    <w:rsid w:val="00FD33A2"/>
    <w:rsid w:val="00FD4CE9"/>
    <w:rsid w:val="00FE6F57"/>
    <w:rsid w:val="00FE7D7A"/>
    <w:rsid w:val="00FF592B"/>
    <w:rsid w:val="00FF5DB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8" type="connector" idref="#_x0000_s1048"/>
        <o:r id="V:Rule19" type="connector" idref="#_x0000_s1039"/>
        <o:r id="V:Rule20" type="connector" idref="#_x0000_s1063"/>
        <o:r id="V:Rule21" type="connector" idref="#_x0000_s1047"/>
        <o:r id="V:Rule22" type="connector" idref="#_x0000_s1060"/>
        <o:r id="V:Rule23" type="connector" idref="#_x0000_s1044"/>
        <o:r id="V:Rule24" type="connector" idref="#_x0000_s1057"/>
        <o:r id="V:Rule25" type="connector" idref="#_x0000_s1058"/>
        <o:r id="V:Rule26" type="connector" idref="#_x0000_s1041"/>
        <o:r id="V:Rule27" type="connector" idref="#_x0000_s1064"/>
        <o:r id="V:Rule28" type="connector" idref="#_x0000_s1043"/>
        <o:r id="V:Rule29" type="connector" idref="#_x0000_s1036"/>
        <o:r id="V:Rule30" type="connector" idref="#_x0000_s1038"/>
        <o:r id="V:Rule31" type="connector" idref="#_x0000_s1037"/>
        <o:r id="V:Rule32" type="connector" idref="#_x0000_s1046"/>
        <o:r id="V:Rule33" type="connector" idref="#_x0000_s1062"/>
        <o:r id="V:Rule34" type="connector" idref="#_x0000_s1059"/>
      </o:rules>
    </o:shapelayout>
  </w:shapeDefaults>
  <w:decimalSymbol w:val=","/>
  <w:listSeparator w:val=";"/>
  <w14:docId w14:val="083E5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Simplified Arabic"/>
        <w:lang w:val="en-GB"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593D90"/>
    <w:pPr>
      <w:spacing w:after="240"/>
      <w:jc w:val="both"/>
    </w:pPr>
    <w:rPr>
      <w:rFonts w:cs="Times New Roman"/>
      <w:sz w:val="24"/>
      <w:szCs w:val="24"/>
      <w:lang w:bidi="ar-AE"/>
    </w:rPr>
  </w:style>
  <w:style w:type="paragraph" w:styleId="1">
    <w:name w:val="heading 1"/>
    <w:basedOn w:val="a"/>
    <w:next w:val="a0"/>
    <w:link w:val="10"/>
    <w:qFormat/>
    <w:rsid w:val="000757C6"/>
    <w:pPr>
      <w:outlineLvl w:val="0"/>
    </w:pPr>
  </w:style>
  <w:style w:type="paragraph" w:styleId="2">
    <w:name w:val="heading 2"/>
    <w:basedOn w:val="a"/>
    <w:next w:val="a0"/>
    <w:link w:val="20"/>
    <w:qFormat/>
    <w:rsid w:val="000757C6"/>
    <w:pPr>
      <w:outlineLvl w:val="1"/>
    </w:pPr>
  </w:style>
  <w:style w:type="paragraph" w:styleId="3">
    <w:name w:val="heading 3"/>
    <w:basedOn w:val="2"/>
    <w:next w:val="a0"/>
    <w:link w:val="30"/>
    <w:qFormat/>
    <w:rsid w:val="000757C6"/>
    <w:pPr>
      <w:outlineLvl w:val="2"/>
    </w:pPr>
  </w:style>
  <w:style w:type="paragraph" w:styleId="4">
    <w:name w:val="heading 4"/>
    <w:basedOn w:val="a"/>
    <w:next w:val="a0"/>
    <w:link w:val="40"/>
    <w:qFormat/>
    <w:rsid w:val="000757C6"/>
    <w:pPr>
      <w:outlineLvl w:val="3"/>
    </w:pPr>
  </w:style>
  <w:style w:type="paragraph" w:styleId="5">
    <w:name w:val="heading 5"/>
    <w:basedOn w:val="a"/>
    <w:next w:val="a0"/>
    <w:link w:val="50"/>
    <w:qFormat/>
    <w:rsid w:val="000757C6"/>
    <w:pPr>
      <w:outlineLvl w:val="4"/>
    </w:pPr>
  </w:style>
  <w:style w:type="paragraph" w:styleId="6">
    <w:name w:val="heading 6"/>
    <w:basedOn w:val="a"/>
    <w:next w:val="a0"/>
    <w:link w:val="60"/>
    <w:qFormat/>
    <w:rsid w:val="000757C6"/>
    <w:pPr>
      <w:outlineLvl w:val="5"/>
    </w:pPr>
  </w:style>
  <w:style w:type="paragraph" w:styleId="7">
    <w:name w:val="heading 7"/>
    <w:basedOn w:val="a"/>
    <w:next w:val="a0"/>
    <w:link w:val="70"/>
    <w:qFormat/>
    <w:rsid w:val="000757C6"/>
    <w:pPr>
      <w:outlineLvl w:val="6"/>
    </w:pPr>
  </w:style>
  <w:style w:type="paragraph" w:styleId="8">
    <w:name w:val="heading 8"/>
    <w:basedOn w:val="a"/>
    <w:next w:val="a0"/>
    <w:link w:val="80"/>
    <w:qFormat/>
    <w:rsid w:val="000757C6"/>
    <w:pPr>
      <w:outlineLvl w:val="7"/>
    </w:pPr>
  </w:style>
  <w:style w:type="paragraph" w:styleId="9">
    <w:name w:val="heading 9"/>
    <w:basedOn w:val="a"/>
    <w:next w:val="a0"/>
    <w:link w:val="90"/>
    <w:qFormat/>
    <w:rsid w:val="000757C6"/>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link w:val="a5"/>
    <w:uiPriority w:val="99"/>
    <w:rsid w:val="000757C6"/>
    <w:pPr>
      <w:jc w:val="both"/>
    </w:pPr>
    <w:rPr>
      <w:sz w:val="24"/>
      <w:szCs w:val="24"/>
      <w:lang w:bidi="he-IL"/>
    </w:rPr>
  </w:style>
  <w:style w:type="character" w:customStyle="1" w:styleId="a5">
    <w:name w:val="Верхний колонтитул Знак"/>
    <w:basedOn w:val="a1"/>
    <w:link w:val="a4"/>
    <w:uiPriority w:val="99"/>
    <w:rsid w:val="00EE7914"/>
    <w:rPr>
      <w:sz w:val="24"/>
      <w:szCs w:val="24"/>
      <w:lang w:val="en-GB" w:eastAsia="zh-CN" w:bidi="he-IL"/>
    </w:rPr>
  </w:style>
  <w:style w:type="paragraph" w:styleId="a6">
    <w:name w:val="footer"/>
    <w:link w:val="a7"/>
    <w:rsid w:val="000757C6"/>
    <w:rPr>
      <w:rFonts w:cs="Times New Roman"/>
      <w:sz w:val="16"/>
      <w:szCs w:val="16"/>
      <w:lang w:bidi="he-IL"/>
    </w:rPr>
  </w:style>
  <w:style w:type="character" w:customStyle="1" w:styleId="a7">
    <w:name w:val="Нижний колонтитул Знак"/>
    <w:basedOn w:val="a1"/>
    <w:link w:val="a6"/>
    <w:rsid w:val="00EE7914"/>
    <w:rPr>
      <w:rFonts w:cs="Times New Roman"/>
      <w:sz w:val="16"/>
      <w:szCs w:val="16"/>
      <w:lang w:bidi="he-IL"/>
    </w:rPr>
  </w:style>
  <w:style w:type="paragraph" w:styleId="a0">
    <w:name w:val="Body Text"/>
    <w:basedOn w:val="a"/>
    <w:link w:val="a8"/>
    <w:rsid w:val="005669B2"/>
    <w:rPr>
      <w:lang w:eastAsia="en-GB"/>
    </w:rPr>
  </w:style>
  <w:style w:type="character" w:customStyle="1" w:styleId="a8">
    <w:name w:val="Основной текст Знак"/>
    <w:basedOn w:val="a1"/>
    <w:link w:val="a0"/>
    <w:rsid w:val="00025DCA"/>
    <w:rPr>
      <w:sz w:val="24"/>
      <w:szCs w:val="24"/>
      <w:lang w:eastAsia="en-GB" w:bidi="ar-AE"/>
    </w:rPr>
  </w:style>
  <w:style w:type="paragraph" w:customStyle="1" w:styleId="BodyText1">
    <w:name w:val="Body Text 1"/>
    <w:basedOn w:val="a"/>
    <w:rsid w:val="005669B2"/>
    <w:pPr>
      <w:ind w:left="720"/>
    </w:pPr>
    <w:rPr>
      <w:lang w:eastAsia="en-GB"/>
    </w:rPr>
  </w:style>
  <w:style w:type="paragraph" w:styleId="21">
    <w:name w:val="Body Text 2"/>
    <w:basedOn w:val="a"/>
    <w:link w:val="22"/>
    <w:rsid w:val="005669B2"/>
    <w:pPr>
      <w:ind w:left="1440"/>
    </w:pPr>
    <w:rPr>
      <w:lang w:eastAsia="en-GB"/>
    </w:rPr>
  </w:style>
  <w:style w:type="character" w:customStyle="1" w:styleId="22">
    <w:name w:val="Основной текст 2 Знак"/>
    <w:basedOn w:val="a1"/>
    <w:link w:val="21"/>
    <w:rsid w:val="00025DCA"/>
    <w:rPr>
      <w:sz w:val="24"/>
      <w:szCs w:val="24"/>
      <w:lang w:eastAsia="en-GB" w:bidi="ar-AE"/>
    </w:rPr>
  </w:style>
  <w:style w:type="paragraph" w:styleId="31">
    <w:name w:val="Body Text 3"/>
    <w:basedOn w:val="a"/>
    <w:link w:val="32"/>
    <w:rsid w:val="005669B2"/>
    <w:pPr>
      <w:ind w:left="2160"/>
    </w:pPr>
    <w:rPr>
      <w:lang w:eastAsia="en-GB"/>
    </w:rPr>
  </w:style>
  <w:style w:type="character" w:customStyle="1" w:styleId="32">
    <w:name w:val="Основной текст 3 Знак"/>
    <w:basedOn w:val="a1"/>
    <w:link w:val="31"/>
    <w:rsid w:val="00025DCA"/>
    <w:rPr>
      <w:sz w:val="24"/>
      <w:szCs w:val="24"/>
      <w:lang w:eastAsia="en-GB" w:bidi="ar-AE"/>
    </w:rPr>
  </w:style>
  <w:style w:type="paragraph" w:customStyle="1" w:styleId="BodyText4">
    <w:name w:val="Body Text 4"/>
    <w:basedOn w:val="a"/>
    <w:rsid w:val="005669B2"/>
    <w:pPr>
      <w:ind w:left="2880"/>
    </w:pPr>
    <w:rPr>
      <w:lang w:eastAsia="en-GB"/>
    </w:rPr>
  </w:style>
  <w:style w:type="paragraph" w:customStyle="1" w:styleId="BodyText5">
    <w:name w:val="Body Text 5"/>
    <w:basedOn w:val="a"/>
    <w:rsid w:val="005669B2"/>
    <w:pPr>
      <w:ind w:left="3600"/>
    </w:pPr>
    <w:rPr>
      <w:lang w:eastAsia="en-GB"/>
    </w:rPr>
  </w:style>
  <w:style w:type="paragraph" w:customStyle="1" w:styleId="BodyText6">
    <w:name w:val="Body Text 6"/>
    <w:basedOn w:val="a"/>
    <w:rsid w:val="005669B2"/>
    <w:pPr>
      <w:ind w:left="4320"/>
    </w:pPr>
    <w:rPr>
      <w:lang w:eastAsia="en-GB"/>
    </w:rPr>
  </w:style>
  <w:style w:type="paragraph" w:customStyle="1" w:styleId="BodyText7">
    <w:name w:val="Body Text 7"/>
    <w:basedOn w:val="a"/>
    <w:rsid w:val="005669B2"/>
    <w:pPr>
      <w:ind w:left="5041"/>
    </w:pPr>
    <w:rPr>
      <w:lang w:eastAsia="en-GB"/>
    </w:rPr>
  </w:style>
  <w:style w:type="paragraph" w:styleId="a9">
    <w:name w:val="Body Text First Indent"/>
    <w:basedOn w:val="a0"/>
    <w:link w:val="aa"/>
    <w:rsid w:val="000757C6"/>
    <w:pPr>
      <w:ind w:firstLine="720"/>
    </w:pPr>
  </w:style>
  <w:style w:type="character" w:customStyle="1" w:styleId="aa">
    <w:name w:val="Красная строка Знак"/>
    <w:basedOn w:val="a8"/>
    <w:link w:val="a9"/>
    <w:rsid w:val="00025DCA"/>
    <w:rPr>
      <w:sz w:val="24"/>
      <w:szCs w:val="24"/>
      <w:lang w:eastAsia="en-GB" w:bidi="ar-AE"/>
    </w:rPr>
  </w:style>
  <w:style w:type="paragraph" w:styleId="ab">
    <w:name w:val="Body Text Indent"/>
    <w:basedOn w:val="a"/>
    <w:link w:val="ac"/>
    <w:rsid w:val="00025DCA"/>
    <w:pPr>
      <w:spacing w:after="120"/>
      <w:ind w:left="283"/>
    </w:pPr>
  </w:style>
  <w:style w:type="character" w:customStyle="1" w:styleId="ac">
    <w:name w:val="Отступ основного текста Знак"/>
    <w:basedOn w:val="a1"/>
    <w:link w:val="ab"/>
    <w:rsid w:val="00025DCA"/>
    <w:rPr>
      <w:sz w:val="24"/>
      <w:szCs w:val="24"/>
      <w:lang w:bidi="ar-AE"/>
    </w:rPr>
  </w:style>
  <w:style w:type="paragraph" w:styleId="23">
    <w:name w:val="Body Text First Indent 2"/>
    <w:basedOn w:val="a9"/>
    <w:link w:val="24"/>
    <w:rsid w:val="000757C6"/>
    <w:pPr>
      <w:ind w:firstLine="1440"/>
    </w:pPr>
  </w:style>
  <w:style w:type="character" w:customStyle="1" w:styleId="24">
    <w:name w:val="Красная строка 2 Знак"/>
    <w:basedOn w:val="ac"/>
    <w:link w:val="23"/>
    <w:rsid w:val="00025DCA"/>
    <w:rPr>
      <w:sz w:val="24"/>
      <w:szCs w:val="24"/>
      <w:lang w:eastAsia="en-GB" w:bidi="ar-AE"/>
    </w:rPr>
  </w:style>
  <w:style w:type="character" w:styleId="ad">
    <w:name w:val="annotation reference"/>
    <w:basedOn w:val="a1"/>
    <w:rsid w:val="000757C6"/>
    <w:rPr>
      <w:rFonts w:ascii="Times New Roman" w:eastAsia="SimSun" w:hAnsi="Times New Roman" w:cs="Simplified Arabic"/>
      <w:sz w:val="18"/>
      <w:szCs w:val="18"/>
      <w:lang w:val="en-GB" w:bidi="ar-AE"/>
    </w:rPr>
  </w:style>
  <w:style w:type="paragraph" w:styleId="ae">
    <w:name w:val="annotation text"/>
    <w:basedOn w:val="a"/>
    <w:link w:val="af"/>
    <w:rsid w:val="000757C6"/>
    <w:pPr>
      <w:spacing w:after="120"/>
    </w:pPr>
    <w:rPr>
      <w:sz w:val="20"/>
      <w:szCs w:val="20"/>
    </w:rPr>
  </w:style>
  <w:style w:type="character" w:customStyle="1" w:styleId="af">
    <w:name w:val="Текст комментария Знак"/>
    <w:basedOn w:val="a1"/>
    <w:link w:val="ae"/>
    <w:rsid w:val="001A5BE4"/>
    <w:rPr>
      <w:lang w:bidi="ar-AE"/>
    </w:rPr>
  </w:style>
  <w:style w:type="character" w:styleId="af0">
    <w:name w:val="Emphasis"/>
    <w:qFormat/>
    <w:rsid w:val="000757C6"/>
    <w:rPr>
      <w:i/>
      <w:iCs/>
    </w:rPr>
  </w:style>
  <w:style w:type="character" w:styleId="af1">
    <w:name w:val="endnote reference"/>
    <w:basedOn w:val="a1"/>
    <w:rsid w:val="000757C6"/>
    <w:rPr>
      <w:rFonts w:ascii="Times New Roman" w:eastAsia="SimSun" w:hAnsi="Times New Roman" w:cs="Simplified Arabic"/>
      <w:sz w:val="18"/>
      <w:szCs w:val="18"/>
      <w:vertAlign w:val="superscript"/>
      <w:lang w:val="en-GB" w:bidi="ar-AE"/>
    </w:rPr>
  </w:style>
  <w:style w:type="paragraph" w:styleId="af2">
    <w:name w:val="endnote text"/>
    <w:basedOn w:val="a"/>
    <w:next w:val="a"/>
    <w:link w:val="af3"/>
    <w:rsid w:val="000757C6"/>
    <w:pPr>
      <w:spacing w:after="120"/>
      <w:ind w:left="340" w:hanging="340"/>
    </w:pPr>
    <w:rPr>
      <w:sz w:val="20"/>
      <w:szCs w:val="20"/>
    </w:rPr>
  </w:style>
  <w:style w:type="character" w:customStyle="1" w:styleId="af3">
    <w:name w:val="Текст концевой сноски Знак"/>
    <w:basedOn w:val="a1"/>
    <w:link w:val="af2"/>
    <w:rsid w:val="00025DCA"/>
    <w:rPr>
      <w:lang w:bidi="ar-AE"/>
    </w:rPr>
  </w:style>
  <w:style w:type="paragraph" w:customStyle="1" w:styleId="FooterRight">
    <w:name w:val="Footer Right"/>
    <w:basedOn w:val="a6"/>
    <w:rsid w:val="000757C6"/>
    <w:pPr>
      <w:jc w:val="right"/>
    </w:pPr>
  </w:style>
  <w:style w:type="paragraph" w:styleId="af4">
    <w:name w:val="footnote text"/>
    <w:basedOn w:val="a"/>
    <w:next w:val="a"/>
    <w:link w:val="af5"/>
    <w:rsid w:val="000757C6"/>
    <w:pPr>
      <w:spacing w:after="120"/>
      <w:ind w:left="340" w:hanging="340"/>
    </w:pPr>
    <w:rPr>
      <w:sz w:val="20"/>
      <w:szCs w:val="20"/>
    </w:rPr>
  </w:style>
  <w:style w:type="character" w:customStyle="1" w:styleId="af5">
    <w:name w:val="Текст сноски Знак"/>
    <w:basedOn w:val="a1"/>
    <w:link w:val="af4"/>
    <w:rsid w:val="00025DCA"/>
    <w:rPr>
      <w:lang w:bidi="ar-AE"/>
    </w:rPr>
  </w:style>
  <w:style w:type="paragraph" w:customStyle="1" w:styleId="Footnote">
    <w:name w:val="Footnote"/>
    <w:basedOn w:val="af4"/>
    <w:rsid w:val="000757C6"/>
    <w:pPr>
      <w:tabs>
        <w:tab w:val="left" w:pos="340"/>
      </w:tabs>
    </w:pPr>
  </w:style>
  <w:style w:type="character" w:styleId="af6">
    <w:name w:val="footnote reference"/>
    <w:basedOn w:val="a1"/>
    <w:rsid w:val="000757C6"/>
    <w:rPr>
      <w:rFonts w:ascii="Times New Roman" w:eastAsia="SimSun" w:hAnsi="Times New Roman" w:cs="Simplified Arabic"/>
      <w:sz w:val="18"/>
      <w:szCs w:val="18"/>
      <w:vertAlign w:val="superscript"/>
      <w:lang w:bidi="ar-AE"/>
    </w:rPr>
  </w:style>
  <w:style w:type="character" w:customStyle="1" w:styleId="10">
    <w:name w:val="Заголовок 1 Знак"/>
    <w:basedOn w:val="a1"/>
    <w:link w:val="1"/>
    <w:rsid w:val="0020061C"/>
    <w:rPr>
      <w:sz w:val="24"/>
      <w:szCs w:val="24"/>
      <w:lang w:bidi="ar-AE"/>
    </w:rPr>
  </w:style>
  <w:style w:type="character" w:customStyle="1" w:styleId="20">
    <w:name w:val="Заголовок 2 Знак"/>
    <w:basedOn w:val="a1"/>
    <w:link w:val="2"/>
    <w:rsid w:val="0020061C"/>
    <w:rPr>
      <w:sz w:val="24"/>
      <w:szCs w:val="24"/>
      <w:lang w:bidi="ar-AE"/>
    </w:rPr>
  </w:style>
  <w:style w:type="character" w:customStyle="1" w:styleId="30">
    <w:name w:val="Заголовок 3 Знак"/>
    <w:basedOn w:val="a1"/>
    <w:link w:val="3"/>
    <w:rsid w:val="0020061C"/>
    <w:rPr>
      <w:sz w:val="24"/>
      <w:szCs w:val="24"/>
      <w:lang w:bidi="ar-AE"/>
    </w:rPr>
  </w:style>
  <w:style w:type="character" w:customStyle="1" w:styleId="40">
    <w:name w:val="Заголовок 4 Знак"/>
    <w:basedOn w:val="a1"/>
    <w:link w:val="4"/>
    <w:rsid w:val="0020061C"/>
    <w:rPr>
      <w:sz w:val="24"/>
      <w:szCs w:val="24"/>
      <w:lang w:bidi="ar-AE"/>
    </w:rPr>
  </w:style>
  <w:style w:type="character" w:customStyle="1" w:styleId="50">
    <w:name w:val="Заголовок 5 Знак"/>
    <w:basedOn w:val="a1"/>
    <w:link w:val="5"/>
    <w:rsid w:val="0020061C"/>
    <w:rPr>
      <w:sz w:val="24"/>
      <w:szCs w:val="24"/>
      <w:lang w:bidi="ar-AE"/>
    </w:rPr>
  </w:style>
  <w:style w:type="character" w:customStyle="1" w:styleId="60">
    <w:name w:val="Заголовок 6 Знак"/>
    <w:basedOn w:val="a1"/>
    <w:link w:val="6"/>
    <w:rsid w:val="0020061C"/>
    <w:rPr>
      <w:sz w:val="24"/>
      <w:szCs w:val="24"/>
      <w:lang w:bidi="ar-AE"/>
    </w:rPr>
  </w:style>
  <w:style w:type="character" w:customStyle="1" w:styleId="70">
    <w:name w:val="Заголовок 7 Знак"/>
    <w:basedOn w:val="a1"/>
    <w:link w:val="7"/>
    <w:rsid w:val="0020061C"/>
    <w:rPr>
      <w:sz w:val="24"/>
      <w:szCs w:val="24"/>
      <w:lang w:bidi="ar-AE"/>
    </w:rPr>
  </w:style>
  <w:style w:type="character" w:customStyle="1" w:styleId="80">
    <w:name w:val="Заголовок 8 Знак"/>
    <w:basedOn w:val="a1"/>
    <w:link w:val="8"/>
    <w:rsid w:val="0020061C"/>
    <w:rPr>
      <w:sz w:val="24"/>
      <w:szCs w:val="24"/>
      <w:lang w:bidi="ar-AE"/>
    </w:rPr>
  </w:style>
  <w:style w:type="character" w:customStyle="1" w:styleId="90">
    <w:name w:val="Заголовок 9 Знак"/>
    <w:basedOn w:val="a1"/>
    <w:link w:val="9"/>
    <w:rsid w:val="0020061C"/>
    <w:rPr>
      <w:sz w:val="24"/>
      <w:szCs w:val="24"/>
      <w:lang w:bidi="ar-AE"/>
    </w:rPr>
  </w:style>
  <w:style w:type="paragraph" w:styleId="11">
    <w:name w:val="index 1"/>
    <w:basedOn w:val="a"/>
    <w:next w:val="a"/>
    <w:autoRedefine/>
    <w:rsid w:val="000757C6"/>
    <w:pPr>
      <w:ind w:left="240" w:hanging="240"/>
    </w:pPr>
  </w:style>
  <w:style w:type="paragraph" w:styleId="af7">
    <w:name w:val="index heading"/>
    <w:basedOn w:val="a"/>
    <w:next w:val="a"/>
    <w:rsid w:val="000757C6"/>
    <w:rPr>
      <w:b/>
      <w:bCs/>
    </w:rPr>
  </w:style>
  <w:style w:type="paragraph" w:styleId="af8">
    <w:name w:val="List Paragraph"/>
    <w:basedOn w:val="a"/>
    <w:uiPriority w:val="34"/>
    <w:qFormat/>
    <w:rsid w:val="000757C6"/>
    <w:pPr>
      <w:ind w:left="720"/>
      <w:contextualSpacing/>
    </w:pPr>
  </w:style>
  <w:style w:type="paragraph" w:styleId="af9">
    <w:name w:val="No Spacing"/>
    <w:basedOn w:val="a"/>
    <w:qFormat/>
    <w:rsid w:val="000757C6"/>
    <w:pPr>
      <w:spacing w:after="0"/>
    </w:pPr>
  </w:style>
  <w:style w:type="paragraph" w:customStyle="1" w:styleId="NormalBold">
    <w:name w:val="NormalBold"/>
    <w:basedOn w:val="a"/>
    <w:next w:val="a"/>
    <w:rsid w:val="0045006A"/>
    <w:rPr>
      <w:b/>
      <w:bCs/>
    </w:rPr>
  </w:style>
  <w:style w:type="paragraph" w:customStyle="1" w:styleId="NormalBoldNS">
    <w:name w:val="NormalBoldNS"/>
    <w:basedOn w:val="a"/>
    <w:next w:val="a"/>
    <w:rsid w:val="0045006A"/>
    <w:pPr>
      <w:spacing w:after="0"/>
      <w:jc w:val="left"/>
    </w:pPr>
    <w:rPr>
      <w:b/>
      <w:bCs/>
    </w:rPr>
  </w:style>
  <w:style w:type="paragraph" w:customStyle="1" w:styleId="NormalNS">
    <w:name w:val="NormalNS"/>
    <w:basedOn w:val="a"/>
    <w:rsid w:val="000757C6"/>
    <w:pPr>
      <w:spacing w:after="0"/>
    </w:pPr>
  </w:style>
  <w:style w:type="paragraph" w:customStyle="1" w:styleId="NormalRight">
    <w:name w:val="NormalRight"/>
    <w:basedOn w:val="NormalNS"/>
    <w:rsid w:val="000757C6"/>
    <w:pPr>
      <w:jc w:val="right"/>
    </w:pPr>
  </w:style>
  <w:style w:type="paragraph" w:customStyle="1" w:styleId="NoteContinuation">
    <w:name w:val="Note Continuation"/>
    <w:basedOn w:val="a"/>
    <w:rsid w:val="000757C6"/>
    <w:pPr>
      <w:spacing w:after="120"/>
      <w:ind w:left="340"/>
    </w:pPr>
    <w:rPr>
      <w:sz w:val="20"/>
      <w:szCs w:val="20"/>
    </w:rPr>
  </w:style>
  <w:style w:type="character" w:styleId="afa">
    <w:name w:val="page number"/>
    <w:basedOn w:val="a1"/>
    <w:rsid w:val="002D6344"/>
    <w:rPr>
      <w:rFonts w:ascii="Times New Roman" w:eastAsia="SimSun" w:hAnsi="Times New Roman" w:cs="Times New Roman"/>
      <w:b w:val="0"/>
      <w:sz w:val="24"/>
      <w:szCs w:val="24"/>
      <w:lang w:val="en-GB" w:bidi="ar-AE"/>
    </w:rPr>
  </w:style>
  <w:style w:type="character" w:styleId="afb">
    <w:name w:val="Strong"/>
    <w:qFormat/>
    <w:rsid w:val="000757C6"/>
    <w:rPr>
      <w:b/>
      <w:bCs/>
    </w:rPr>
  </w:style>
  <w:style w:type="paragraph" w:styleId="afc">
    <w:name w:val="Subtitle"/>
    <w:basedOn w:val="a"/>
    <w:next w:val="a0"/>
    <w:link w:val="afd"/>
    <w:qFormat/>
    <w:rsid w:val="000757C6"/>
    <w:pPr>
      <w:numPr>
        <w:ilvl w:val="1"/>
      </w:numPr>
      <w:jc w:val="center"/>
    </w:pPr>
  </w:style>
  <w:style w:type="character" w:customStyle="1" w:styleId="afd">
    <w:name w:val="Подзаголовок Знак"/>
    <w:basedOn w:val="a1"/>
    <w:link w:val="afc"/>
    <w:rsid w:val="00025DCA"/>
    <w:rPr>
      <w:sz w:val="24"/>
      <w:szCs w:val="24"/>
      <w:lang w:bidi="ar-AE"/>
    </w:rPr>
  </w:style>
  <w:style w:type="table" w:styleId="afe">
    <w:name w:val="Table Grid"/>
    <w:basedOn w:val="a2"/>
    <w:rsid w:val="00075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Title"/>
    <w:basedOn w:val="a"/>
    <w:next w:val="a0"/>
    <w:link w:val="aff0"/>
    <w:qFormat/>
    <w:rsid w:val="0045006A"/>
    <w:pPr>
      <w:jc w:val="center"/>
    </w:pPr>
    <w:rPr>
      <w:b/>
      <w:bCs/>
    </w:rPr>
  </w:style>
  <w:style w:type="character" w:customStyle="1" w:styleId="aff0">
    <w:name w:val="Название Знак"/>
    <w:basedOn w:val="a1"/>
    <w:link w:val="aff"/>
    <w:rsid w:val="00025DCA"/>
    <w:rPr>
      <w:b/>
      <w:bCs/>
      <w:sz w:val="24"/>
      <w:szCs w:val="24"/>
      <w:lang w:bidi="ar-AE"/>
    </w:rPr>
  </w:style>
  <w:style w:type="paragraph" w:styleId="aff1">
    <w:name w:val="TOC Heading"/>
    <w:basedOn w:val="a"/>
    <w:next w:val="a"/>
    <w:qFormat/>
    <w:rsid w:val="007B1690"/>
    <w:pPr>
      <w:jc w:val="center"/>
    </w:pPr>
    <w:rPr>
      <w:b/>
      <w:bCs/>
      <w:caps/>
    </w:rPr>
  </w:style>
  <w:style w:type="paragraph" w:styleId="aff2">
    <w:name w:val="annotation subject"/>
    <w:basedOn w:val="ae"/>
    <w:next w:val="ae"/>
    <w:link w:val="aff3"/>
    <w:rsid w:val="000757C6"/>
    <w:pPr>
      <w:spacing w:after="240"/>
    </w:pPr>
    <w:rPr>
      <w:b/>
      <w:bCs/>
    </w:rPr>
  </w:style>
  <w:style w:type="character" w:customStyle="1" w:styleId="aff3">
    <w:name w:val="Тема примечания Знак"/>
    <w:basedOn w:val="af"/>
    <w:link w:val="aff2"/>
    <w:rsid w:val="001A5BE4"/>
    <w:rPr>
      <w:b/>
      <w:bCs/>
      <w:lang w:bidi="ar-AE"/>
    </w:rPr>
  </w:style>
  <w:style w:type="paragraph" w:customStyle="1" w:styleId="BGHStandard">
    <w:name w:val="BGH Standard"/>
    <w:basedOn w:val="a"/>
    <w:rsid w:val="000757C6"/>
    <w:pPr>
      <w:ind w:left="1985"/>
    </w:pPr>
    <w:rPr>
      <w:lang w:eastAsia="en-GB"/>
    </w:rPr>
  </w:style>
  <w:style w:type="paragraph" w:customStyle="1" w:styleId="NormalRight12">
    <w:name w:val="NormalRight12"/>
    <w:basedOn w:val="NormalRight"/>
    <w:rsid w:val="000757C6"/>
    <w:pPr>
      <w:spacing w:after="240"/>
    </w:pPr>
  </w:style>
  <w:style w:type="paragraph" w:customStyle="1" w:styleId="SubTitle0">
    <w:name w:val="SubTitle0"/>
    <w:basedOn w:val="afc"/>
    <w:rsid w:val="000757C6"/>
    <w:pPr>
      <w:spacing w:after="0"/>
    </w:pPr>
  </w:style>
  <w:style w:type="paragraph" w:styleId="12">
    <w:name w:val="toc 1"/>
    <w:basedOn w:val="a"/>
    <w:next w:val="a0"/>
    <w:rsid w:val="00FF592B"/>
    <w:pPr>
      <w:tabs>
        <w:tab w:val="right" w:leader="dot" w:pos="9016"/>
      </w:tabs>
      <w:adjustRightInd w:val="0"/>
      <w:snapToGrid w:val="0"/>
      <w:spacing w:before="100" w:after="100"/>
      <w:ind w:left="510" w:hanging="510"/>
    </w:pPr>
    <w:rPr>
      <w:snapToGrid w:val="0"/>
      <w:lang w:bidi="he-IL"/>
    </w:rPr>
  </w:style>
  <w:style w:type="paragraph" w:styleId="25">
    <w:name w:val="toc 2"/>
    <w:basedOn w:val="a"/>
    <w:next w:val="a0"/>
    <w:rsid w:val="00FF592B"/>
    <w:pPr>
      <w:tabs>
        <w:tab w:val="right" w:leader="dot" w:pos="9015"/>
      </w:tabs>
      <w:adjustRightInd w:val="0"/>
      <w:snapToGrid w:val="0"/>
      <w:spacing w:before="100" w:after="100"/>
      <w:ind w:left="1230" w:hanging="720"/>
    </w:pPr>
    <w:rPr>
      <w:snapToGrid w:val="0"/>
      <w:lang w:bidi="he-IL"/>
    </w:rPr>
  </w:style>
  <w:style w:type="paragraph" w:customStyle="1" w:styleId="OptionLabel">
    <w:name w:val="OptionLabel"/>
    <w:rsid w:val="0045006A"/>
    <w:rPr>
      <w:b/>
      <w:bCs/>
      <w:sz w:val="24"/>
      <w:szCs w:val="24"/>
      <w:lang w:bidi="ar-AE"/>
    </w:rPr>
  </w:style>
  <w:style w:type="paragraph" w:customStyle="1" w:styleId="NormalLeft">
    <w:name w:val="NormalLeft"/>
    <w:basedOn w:val="a"/>
    <w:next w:val="a"/>
    <w:rsid w:val="00957F96"/>
    <w:pPr>
      <w:jc w:val="left"/>
    </w:pPr>
  </w:style>
  <w:style w:type="paragraph" w:styleId="aff4">
    <w:name w:val="Balloon Text"/>
    <w:basedOn w:val="a"/>
    <w:link w:val="aff5"/>
    <w:rsid w:val="00AE0632"/>
    <w:pPr>
      <w:spacing w:after="0"/>
    </w:pPr>
    <w:rPr>
      <w:rFonts w:ascii="Tahoma" w:hAnsi="Tahoma" w:cs="Tahoma"/>
      <w:sz w:val="16"/>
      <w:szCs w:val="16"/>
    </w:rPr>
  </w:style>
  <w:style w:type="character" w:customStyle="1" w:styleId="aff5">
    <w:name w:val="Текст выноски Знак"/>
    <w:basedOn w:val="a1"/>
    <w:link w:val="aff4"/>
    <w:rsid w:val="00AE0632"/>
    <w:rPr>
      <w:rFonts w:ascii="Tahoma" w:hAnsi="Tahoma" w:cs="Tahoma"/>
      <w:sz w:val="16"/>
      <w:szCs w:val="16"/>
      <w:lang w:bidi="ar-AE"/>
    </w:rPr>
  </w:style>
  <w:style w:type="paragraph" w:styleId="aff6">
    <w:name w:val="Bibliography"/>
    <w:basedOn w:val="a"/>
    <w:next w:val="a"/>
    <w:rsid w:val="00CE6FCC"/>
  </w:style>
  <w:style w:type="paragraph" w:styleId="aff7">
    <w:name w:val="Block Text"/>
    <w:basedOn w:val="a"/>
    <w:rsid w:val="00CE6FCC"/>
    <w:pPr>
      <w:spacing w:after="120"/>
      <w:ind w:left="1440" w:right="1440"/>
    </w:pPr>
  </w:style>
  <w:style w:type="paragraph" w:styleId="26">
    <w:name w:val="Body Text Indent 2"/>
    <w:basedOn w:val="a"/>
    <w:link w:val="27"/>
    <w:rsid w:val="00CE6FCC"/>
    <w:pPr>
      <w:spacing w:after="120"/>
      <w:ind w:left="360"/>
    </w:pPr>
  </w:style>
  <w:style w:type="character" w:customStyle="1" w:styleId="27">
    <w:name w:val="Основной текст с отступом 2 Знак"/>
    <w:basedOn w:val="a1"/>
    <w:link w:val="26"/>
    <w:rsid w:val="00CE6FCC"/>
    <w:rPr>
      <w:sz w:val="24"/>
      <w:szCs w:val="24"/>
      <w:lang w:bidi="ar-AE"/>
    </w:rPr>
  </w:style>
  <w:style w:type="paragraph" w:styleId="33">
    <w:name w:val="Body Text Indent 3"/>
    <w:basedOn w:val="a"/>
    <w:link w:val="34"/>
    <w:rsid w:val="00CE6FCC"/>
    <w:pPr>
      <w:spacing w:after="120"/>
      <w:ind w:left="360"/>
    </w:pPr>
    <w:rPr>
      <w:sz w:val="16"/>
      <w:szCs w:val="16"/>
    </w:rPr>
  </w:style>
  <w:style w:type="character" w:customStyle="1" w:styleId="34">
    <w:name w:val="Основной текст с отступом 3 Знак"/>
    <w:basedOn w:val="a1"/>
    <w:link w:val="33"/>
    <w:rsid w:val="00CE6FCC"/>
    <w:rPr>
      <w:sz w:val="16"/>
      <w:szCs w:val="16"/>
      <w:lang w:bidi="ar-AE"/>
    </w:rPr>
  </w:style>
  <w:style w:type="paragraph" w:styleId="aff8">
    <w:name w:val="caption"/>
    <w:basedOn w:val="a"/>
    <w:next w:val="a"/>
    <w:qFormat/>
    <w:rsid w:val="00CE6FCC"/>
    <w:rPr>
      <w:b/>
      <w:bCs/>
      <w:sz w:val="20"/>
      <w:szCs w:val="20"/>
    </w:rPr>
  </w:style>
  <w:style w:type="paragraph" w:styleId="aff9">
    <w:name w:val="Closing"/>
    <w:basedOn w:val="a"/>
    <w:link w:val="affa"/>
    <w:rsid w:val="00CE6FCC"/>
    <w:pPr>
      <w:ind w:left="4320"/>
    </w:pPr>
  </w:style>
  <w:style w:type="character" w:customStyle="1" w:styleId="affa">
    <w:name w:val="Заключение Знак"/>
    <w:basedOn w:val="a1"/>
    <w:link w:val="aff9"/>
    <w:rsid w:val="00CE6FCC"/>
    <w:rPr>
      <w:sz w:val="24"/>
      <w:szCs w:val="24"/>
      <w:lang w:bidi="ar-AE"/>
    </w:rPr>
  </w:style>
  <w:style w:type="table" w:customStyle="1" w:styleId="ColorfulGrid1">
    <w:name w:val="Colorful Grid1"/>
    <w:basedOn w:val="a2"/>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3">
    <w:name w:val="Colorful Grid Accent 1"/>
    <w:basedOn w:val="a2"/>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8">
    <w:name w:val="Colorful Grid Accent 2"/>
    <w:basedOn w:val="a2"/>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5">
    <w:name w:val="Colorful Grid Accent 3"/>
    <w:basedOn w:val="a2"/>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1">
    <w:name w:val="Colorful Grid Accent 4"/>
    <w:basedOn w:val="a2"/>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1">
    <w:name w:val="Colorful Grid Accent 5"/>
    <w:basedOn w:val="a2"/>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1">
    <w:name w:val="Colorful Grid Accent 6"/>
    <w:basedOn w:val="a2"/>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a2"/>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4">
    <w:name w:val="Colorful List Accent 1"/>
    <w:basedOn w:val="a2"/>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9">
    <w:name w:val="Colorful List Accent 2"/>
    <w:basedOn w:val="a2"/>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6">
    <w:name w:val="Colorful List Accent 3"/>
    <w:basedOn w:val="a2"/>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2">
    <w:name w:val="Colorful List Accent 4"/>
    <w:basedOn w:val="a2"/>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2">
    <w:name w:val="Colorful List Accent 5"/>
    <w:basedOn w:val="a2"/>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2">
    <w:name w:val="Colorful List Accent 6"/>
    <w:basedOn w:val="a2"/>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a2"/>
    <w:rsid w:val="00CE6FC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2"/>
    <w:rsid w:val="00CE6FC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a">
    <w:name w:val="Colorful Shading Accent 2"/>
    <w:basedOn w:val="a2"/>
    <w:rsid w:val="00CE6FC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7">
    <w:name w:val="Colorful Shading Accent 3"/>
    <w:basedOn w:val="a2"/>
    <w:rsid w:val="00CE6FC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3">
    <w:name w:val="Colorful Shading Accent 4"/>
    <w:basedOn w:val="a2"/>
    <w:rsid w:val="00CE6FC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3">
    <w:name w:val="Colorful Shading Accent 5"/>
    <w:basedOn w:val="a2"/>
    <w:rsid w:val="00CE6FC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3">
    <w:name w:val="Colorful Shading Accent 6"/>
    <w:basedOn w:val="a2"/>
    <w:rsid w:val="00CE6FC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a2"/>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6">
    <w:name w:val="Dark List Accent 1"/>
    <w:basedOn w:val="a2"/>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b">
    <w:name w:val="Dark List Accent 2"/>
    <w:basedOn w:val="a2"/>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8">
    <w:name w:val="Dark List Accent 3"/>
    <w:basedOn w:val="a2"/>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4">
    <w:name w:val="Dark List Accent 4"/>
    <w:basedOn w:val="a2"/>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4">
    <w:name w:val="Dark List Accent 5"/>
    <w:basedOn w:val="a2"/>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4">
    <w:name w:val="Dark List Accent 6"/>
    <w:basedOn w:val="a2"/>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affb">
    <w:name w:val="Date"/>
    <w:basedOn w:val="a"/>
    <w:next w:val="a"/>
    <w:link w:val="affc"/>
    <w:rsid w:val="00CE6FCC"/>
  </w:style>
  <w:style w:type="character" w:customStyle="1" w:styleId="affc">
    <w:name w:val="Дата Знак"/>
    <w:basedOn w:val="a1"/>
    <w:link w:val="affb"/>
    <w:rsid w:val="00CE6FCC"/>
    <w:rPr>
      <w:sz w:val="24"/>
      <w:szCs w:val="24"/>
      <w:lang w:bidi="ar-AE"/>
    </w:rPr>
  </w:style>
  <w:style w:type="paragraph" w:styleId="affd">
    <w:name w:val="Document Map"/>
    <w:basedOn w:val="a"/>
    <w:link w:val="affe"/>
    <w:rsid w:val="00CE6FCC"/>
    <w:rPr>
      <w:rFonts w:ascii="Tahoma" w:hAnsi="Tahoma" w:cs="Tahoma"/>
      <w:sz w:val="16"/>
      <w:szCs w:val="16"/>
    </w:rPr>
  </w:style>
  <w:style w:type="character" w:customStyle="1" w:styleId="affe">
    <w:name w:val="Схема документа Знак"/>
    <w:basedOn w:val="a1"/>
    <w:link w:val="affd"/>
    <w:rsid w:val="00CE6FCC"/>
    <w:rPr>
      <w:rFonts w:ascii="Tahoma" w:hAnsi="Tahoma" w:cs="Tahoma"/>
      <w:sz w:val="16"/>
      <w:szCs w:val="16"/>
      <w:lang w:bidi="ar-AE"/>
    </w:rPr>
  </w:style>
  <w:style w:type="paragraph" w:styleId="afff">
    <w:name w:val="E-mail Signature"/>
    <w:basedOn w:val="a"/>
    <w:link w:val="afff0"/>
    <w:rsid w:val="00CE6FCC"/>
  </w:style>
  <w:style w:type="character" w:customStyle="1" w:styleId="afff0">
    <w:name w:val="Подпись электронной почты Знак"/>
    <w:basedOn w:val="a1"/>
    <w:link w:val="afff"/>
    <w:rsid w:val="00CE6FCC"/>
    <w:rPr>
      <w:sz w:val="24"/>
      <w:szCs w:val="24"/>
      <w:lang w:bidi="ar-AE"/>
    </w:rPr>
  </w:style>
  <w:style w:type="paragraph" w:styleId="afff1">
    <w:name w:val="envelope address"/>
    <w:basedOn w:val="a"/>
    <w:rsid w:val="00CE6FCC"/>
    <w:pPr>
      <w:framePr w:w="7920" w:h="1980" w:hRule="exact" w:hSpace="180" w:wrap="auto" w:hAnchor="page" w:xAlign="center" w:yAlign="bottom"/>
      <w:ind w:left="2880"/>
    </w:pPr>
    <w:rPr>
      <w:rFonts w:cs="Simplified Arabic"/>
    </w:rPr>
  </w:style>
  <w:style w:type="paragraph" w:styleId="afff2">
    <w:name w:val="envelope return"/>
    <w:basedOn w:val="a"/>
    <w:rsid w:val="00CE6FCC"/>
    <w:rPr>
      <w:rFonts w:cs="Simplified Arabic"/>
      <w:sz w:val="20"/>
      <w:szCs w:val="20"/>
    </w:rPr>
  </w:style>
  <w:style w:type="paragraph" w:styleId="HTML">
    <w:name w:val="HTML Address"/>
    <w:basedOn w:val="a"/>
    <w:link w:val="HTML0"/>
    <w:rsid w:val="00CE6FCC"/>
    <w:rPr>
      <w:i/>
      <w:iCs/>
    </w:rPr>
  </w:style>
  <w:style w:type="character" w:customStyle="1" w:styleId="HTML0">
    <w:name w:val="Адрес HTML Знак"/>
    <w:basedOn w:val="a1"/>
    <w:link w:val="HTML"/>
    <w:rsid w:val="00CE6FCC"/>
    <w:rPr>
      <w:i/>
      <w:iCs/>
      <w:sz w:val="24"/>
      <w:szCs w:val="24"/>
      <w:lang w:bidi="ar-AE"/>
    </w:rPr>
  </w:style>
  <w:style w:type="paragraph" w:styleId="HTML1">
    <w:name w:val="HTML Preformatted"/>
    <w:basedOn w:val="a"/>
    <w:link w:val="HTML2"/>
    <w:rsid w:val="00CE6FCC"/>
    <w:rPr>
      <w:rFonts w:ascii="Courier New" w:hAnsi="Courier New" w:cs="Courier New"/>
      <w:sz w:val="20"/>
      <w:szCs w:val="20"/>
    </w:rPr>
  </w:style>
  <w:style w:type="character" w:customStyle="1" w:styleId="HTML2">
    <w:name w:val="Стандартный HTML Знак"/>
    <w:basedOn w:val="a1"/>
    <w:link w:val="HTML1"/>
    <w:rsid w:val="00CE6FCC"/>
    <w:rPr>
      <w:rFonts w:ascii="Courier New" w:hAnsi="Courier New" w:cs="Courier New"/>
      <w:lang w:bidi="ar-AE"/>
    </w:rPr>
  </w:style>
  <w:style w:type="paragraph" w:styleId="2c">
    <w:name w:val="index 2"/>
    <w:basedOn w:val="a"/>
    <w:next w:val="a"/>
    <w:autoRedefine/>
    <w:rsid w:val="00CE6FCC"/>
    <w:pPr>
      <w:ind w:left="480" w:hanging="240"/>
    </w:pPr>
  </w:style>
  <w:style w:type="paragraph" w:styleId="39">
    <w:name w:val="index 3"/>
    <w:basedOn w:val="a"/>
    <w:next w:val="a"/>
    <w:autoRedefine/>
    <w:rsid w:val="00CE6FCC"/>
    <w:pPr>
      <w:ind w:left="720" w:hanging="240"/>
    </w:pPr>
  </w:style>
  <w:style w:type="paragraph" w:styleId="45">
    <w:name w:val="index 4"/>
    <w:basedOn w:val="a"/>
    <w:next w:val="a"/>
    <w:autoRedefine/>
    <w:rsid w:val="00CE6FCC"/>
    <w:pPr>
      <w:ind w:left="960" w:hanging="240"/>
    </w:pPr>
  </w:style>
  <w:style w:type="paragraph" w:styleId="55">
    <w:name w:val="index 5"/>
    <w:basedOn w:val="a"/>
    <w:next w:val="a"/>
    <w:autoRedefine/>
    <w:rsid w:val="00CE6FCC"/>
    <w:pPr>
      <w:ind w:left="1200" w:hanging="240"/>
    </w:pPr>
  </w:style>
  <w:style w:type="paragraph" w:styleId="65">
    <w:name w:val="index 6"/>
    <w:basedOn w:val="a"/>
    <w:next w:val="a"/>
    <w:autoRedefine/>
    <w:rsid w:val="00CE6FCC"/>
    <w:pPr>
      <w:ind w:left="1440" w:hanging="240"/>
    </w:pPr>
  </w:style>
  <w:style w:type="paragraph" w:styleId="71">
    <w:name w:val="index 7"/>
    <w:basedOn w:val="a"/>
    <w:next w:val="a"/>
    <w:autoRedefine/>
    <w:rsid w:val="00CE6FCC"/>
    <w:pPr>
      <w:ind w:left="1680" w:hanging="240"/>
    </w:pPr>
  </w:style>
  <w:style w:type="paragraph" w:styleId="81">
    <w:name w:val="index 8"/>
    <w:basedOn w:val="a"/>
    <w:next w:val="a"/>
    <w:autoRedefine/>
    <w:rsid w:val="00CE6FCC"/>
    <w:pPr>
      <w:ind w:left="1920" w:hanging="240"/>
    </w:pPr>
  </w:style>
  <w:style w:type="paragraph" w:styleId="91">
    <w:name w:val="index 9"/>
    <w:basedOn w:val="a"/>
    <w:next w:val="a"/>
    <w:autoRedefine/>
    <w:rsid w:val="00CE6FCC"/>
    <w:pPr>
      <w:ind w:left="2160" w:hanging="240"/>
    </w:pPr>
  </w:style>
  <w:style w:type="paragraph" w:styleId="afff3">
    <w:name w:val="Intense Quote"/>
    <w:basedOn w:val="a"/>
    <w:next w:val="a"/>
    <w:link w:val="afff4"/>
    <w:qFormat/>
    <w:rsid w:val="00CE6FCC"/>
    <w:pPr>
      <w:pBdr>
        <w:bottom w:val="single" w:sz="4" w:space="4" w:color="4F81BD"/>
      </w:pBdr>
      <w:spacing w:before="200" w:after="280"/>
      <w:ind w:left="936" w:right="936"/>
    </w:pPr>
    <w:rPr>
      <w:b/>
      <w:bCs/>
      <w:i/>
      <w:iCs/>
      <w:color w:val="4F81BD"/>
    </w:rPr>
  </w:style>
  <w:style w:type="character" w:customStyle="1" w:styleId="afff4">
    <w:name w:val="Выделенная цитата Знак"/>
    <w:basedOn w:val="a1"/>
    <w:link w:val="afff3"/>
    <w:rsid w:val="00CE6FCC"/>
    <w:rPr>
      <w:b/>
      <w:bCs/>
      <w:i/>
      <w:iCs/>
      <w:color w:val="4F81BD"/>
      <w:sz w:val="24"/>
      <w:szCs w:val="24"/>
      <w:lang w:bidi="ar-AE"/>
    </w:rPr>
  </w:style>
  <w:style w:type="table" w:customStyle="1" w:styleId="LightGrid1">
    <w:name w:val="Light Grid1"/>
    <w:basedOn w:val="a2"/>
    <w:rsid w:val="00CE6FC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a2"/>
    <w:rsid w:val="00CE6FC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d">
    <w:name w:val="Light Grid Accent 2"/>
    <w:basedOn w:val="a2"/>
    <w:rsid w:val="00CE6FC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a">
    <w:name w:val="Light Grid Accent 3"/>
    <w:basedOn w:val="a2"/>
    <w:rsid w:val="00CE6FC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6">
    <w:name w:val="Light Grid Accent 4"/>
    <w:basedOn w:val="a2"/>
    <w:rsid w:val="00CE6FC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6">
    <w:name w:val="Light Grid Accent 5"/>
    <w:basedOn w:val="a2"/>
    <w:rsid w:val="00CE6FC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6">
    <w:name w:val="Light Grid Accent 6"/>
    <w:basedOn w:val="a2"/>
    <w:rsid w:val="00CE6FC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a2"/>
    <w:rsid w:val="00CE6FC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a2"/>
    <w:rsid w:val="00CE6FC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e">
    <w:name w:val="Light List Accent 2"/>
    <w:basedOn w:val="a2"/>
    <w:rsid w:val="00CE6FC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b">
    <w:name w:val="Light List Accent 3"/>
    <w:basedOn w:val="a2"/>
    <w:rsid w:val="00CE6FC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7">
    <w:name w:val="Light List Accent 4"/>
    <w:basedOn w:val="a2"/>
    <w:rsid w:val="00CE6FC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7">
    <w:name w:val="Light List Accent 5"/>
    <w:basedOn w:val="a2"/>
    <w:rsid w:val="00CE6FC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7">
    <w:name w:val="Light List Accent 6"/>
    <w:basedOn w:val="a2"/>
    <w:rsid w:val="00CE6FC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a2"/>
    <w:rsid w:val="00CE6F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a2"/>
    <w:rsid w:val="00CE6FC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f">
    <w:name w:val="Light Shading Accent 2"/>
    <w:basedOn w:val="a2"/>
    <w:rsid w:val="00CE6FC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c">
    <w:name w:val="Light Shading Accent 3"/>
    <w:basedOn w:val="a2"/>
    <w:rsid w:val="00CE6FC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8">
    <w:name w:val="Light Shading Accent 4"/>
    <w:basedOn w:val="a2"/>
    <w:rsid w:val="00CE6FC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8">
    <w:name w:val="Light Shading Accent 5"/>
    <w:basedOn w:val="a2"/>
    <w:rsid w:val="00CE6FC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8">
    <w:name w:val="Light Shading Accent 6"/>
    <w:basedOn w:val="a2"/>
    <w:rsid w:val="00CE6FC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ff5">
    <w:name w:val="List"/>
    <w:basedOn w:val="a"/>
    <w:rsid w:val="00CE6FCC"/>
    <w:pPr>
      <w:ind w:left="360" w:hanging="360"/>
      <w:contextualSpacing/>
    </w:pPr>
  </w:style>
  <w:style w:type="paragraph" w:styleId="2f0">
    <w:name w:val="List 2"/>
    <w:basedOn w:val="a"/>
    <w:rsid w:val="00CE6FCC"/>
    <w:pPr>
      <w:ind w:left="720" w:hanging="360"/>
      <w:contextualSpacing/>
    </w:pPr>
  </w:style>
  <w:style w:type="paragraph" w:styleId="3d">
    <w:name w:val="List 3"/>
    <w:basedOn w:val="a"/>
    <w:rsid w:val="00CE6FCC"/>
    <w:pPr>
      <w:ind w:left="1080" w:hanging="360"/>
      <w:contextualSpacing/>
    </w:pPr>
  </w:style>
  <w:style w:type="paragraph" w:styleId="49">
    <w:name w:val="List 4"/>
    <w:basedOn w:val="a"/>
    <w:rsid w:val="00CE6FCC"/>
    <w:pPr>
      <w:ind w:left="1440" w:hanging="360"/>
      <w:contextualSpacing/>
    </w:pPr>
  </w:style>
  <w:style w:type="paragraph" w:styleId="59">
    <w:name w:val="List 5"/>
    <w:basedOn w:val="a"/>
    <w:rsid w:val="00CE6FCC"/>
    <w:pPr>
      <w:ind w:left="1800" w:hanging="360"/>
      <w:contextualSpacing/>
    </w:pPr>
  </w:style>
  <w:style w:type="paragraph" w:styleId="afff6">
    <w:name w:val="List Continue"/>
    <w:basedOn w:val="a"/>
    <w:rsid w:val="00CE6FCC"/>
    <w:pPr>
      <w:spacing w:after="120"/>
      <w:ind w:left="360"/>
      <w:contextualSpacing/>
    </w:pPr>
  </w:style>
  <w:style w:type="paragraph" w:styleId="2f1">
    <w:name w:val="List Continue 2"/>
    <w:basedOn w:val="a"/>
    <w:rsid w:val="00CE6FCC"/>
    <w:pPr>
      <w:spacing w:after="120"/>
      <w:ind w:left="720"/>
      <w:contextualSpacing/>
    </w:pPr>
  </w:style>
  <w:style w:type="paragraph" w:styleId="3e">
    <w:name w:val="List Continue 3"/>
    <w:basedOn w:val="a"/>
    <w:rsid w:val="00CE6FCC"/>
    <w:pPr>
      <w:spacing w:after="120"/>
      <w:ind w:left="1080"/>
      <w:contextualSpacing/>
    </w:pPr>
  </w:style>
  <w:style w:type="paragraph" w:styleId="4a">
    <w:name w:val="List Continue 4"/>
    <w:basedOn w:val="a"/>
    <w:rsid w:val="00CE6FCC"/>
    <w:pPr>
      <w:spacing w:after="120"/>
      <w:ind w:left="1440"/>
      <w:contextualSpacing/>
    </w:pPr>
  </w:style>
  <w:style w:type="paragraph" w:styleId="5a">
    <w:name w:val="List Continue 5"/>
    <w:basedOn w:val="a"/>
    <w:rsid w:val="00CE6FCC"/>
    <w:pPr>
      <w:spacing w:after="120"/>
      <w:ind w:left="1800"/>
      <w:contextualSpacing/>
    </w:pPr>
  </w:style>
  <w:style w:type="paragraph" w:styleId="afff7">
    <w:name w:val="macro"/>
    <w:link w:val="afff8"/>
    <w:rsid w:val="00CE6F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afff8">
    <w:name w:val="Текст макроса Знак"/>
    <w:basedOn w:val="a1"/>
    <w:link w:val="afff7"/>
    <w:rsid w:val="00CE6FCC"/>
    <w:rPr>
      <w:rFonts w:ascii="Courier New" w:hAnsi="Courier New" w:cs="Courier New"/>
      <w:lang w:val="en-GB" w:eastAsia="zh-CN" w:bidi="ar-AE"/>
    </w:rPr>
  </w:style>
  <w:style w:type="table" w:customStyle="1" w:styleId="MediumGrid11">
    <w:name w:val="Medium Grid 11"/>
    <w:basedOn w:val="a2"/>
    <w:rsid w:val="00CE6FC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0">
    <w:name w:val="Medium Grid 1 Accent 1"/>
    <w:basedOn w:val="a2"/>
    <w:rsid w:val="00CE6F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0">
    <w:name w:val="Medium Grid 1 Accent 2"/>
    <w:basedOn w:val="a2"/>
    <w:rsid w:val="00CE6FC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0">
    <w:name w:val="Medium Grid 1 Accent 3"/>
    <w:basedOn w:val="a2"/>
    <w:rsid w:val="00CE6FC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0">
    <w:name w:val="Medium Grid 1 Accent 4"/>
    <w:basedOn w:val="a2"/>
    <w:rsid w:val="00CE6FC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0">
    <w:name w:val="Medium Grid 1 Accent 5"/>
    <w:basedOn w:val="a2"/>
    <w:rsid w:val="00CE6FC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0">
    <w:name w:val="Medium Grid 1 Accent 6"/>
    <w:basedOn w:val="a2"/>
    <w:rsid w:val="00CE6FC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a2"/>
    <w:rsid w:val="00CE6FCC"/>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2"/>
    <w:rsid w:val="00CE6FCC"/>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0">
    <w:name w:val="Medium Grid 2 Accent 2"/>
    <w:basedOn w:val="a2"/>
    <w:rsid w:val="00CE6FCC"/>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0">
    <w:name w:val="Medium Grid 2 Accent 3"/>
    <w:basedOn w:val="a2"/>
    <w:rsid w:val="00CE6FCC"/>
    <w:rPr>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0">
    <w:name w:val="Medium Grid 2 Accent 4"/>
    <w:basedOn w:val="a2"/>
    <w:rsid w:val="00CE6FCC"/>
    <w:rPr>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0">
    <w:name w:val="Medium Grid 2 Accent 5"/>
    <w:basedOn w:val="a2"/>
    <w:rsid w:val="00CE6FCC"/>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0">
    <w:name w:val="Medium Grid 2 Accent 6"/>
    <w:basedOn w:val="a2"/>
    <w:rsid w:val="00CE6FCC"/>
    <w:rPr>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a2"/>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0">
    <w:name w:val="Medium Grid 3 Accent 1"/>
    <w:basedOn w:val="a2"/>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0">
    <w:name w:val="Medium Grid 3 Accent 2"/>
    <w:basedOn w:val="a2"/>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0">
    <w:name w:val="Medium Grid 3 Accent 3"/>
    <w:basedOn w:val="a2"/>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0">
    <w:name w:val="Medium Grid 3 Accent 4"/>
    <w:basedOn w:val="a2"/>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0">
    <w:name w:val="Medium Grid 3 Accent 5"/>
    <w:basedOn w:val="a2"/>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0">
    <w:name w:val="Medium Grid 3 Accent 6"/>
    <w:basedOn w:val="a2"/>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a2"/>
    <w:rsid w:val="00CE6F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a2"/>
    <w:rsid w:val="00CE6FC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1">
    <w:name w:val="Medium List 1 Accent 2"/>
    <w:basedOn w:val="a2"/>
    <w:rsid w:val="00CE6FC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1">
    <w:name w:val="Medium List 1 Accent 3"/>
    <w:basedOn w:val="a2"/>
    <w:rsid w:val="00CE6FC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1">
    <w:name w:val="Medium List 1 Accent 4"/>
    <w:basedOn w:val="a2"/>
    <w:rsid w:val="00CE6FC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1">
    <w:name w:val="Medium List 1 Accent 5"/>
    <w:basedOn w:val="a2"/>
    <w:rsid w:val="00CE6FC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1">
    <w:name w:val="Medium List 1 Accent 6"/>
    <w:basedOn w:val="a2"/>
    <w:rsid w:val="00CE6FC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a2"/>
    <w:rsid w:val="00CE6FCC"/>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1">
    <w:name w:val="Medium List 2 Accent 1"/>
    <w:basedOn w:val="a2"/>
    <w:rsid w:val="00CE6FCC"/>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1">
    <w:name w:val="Medium List 2 Accent 2"/>
    <w:basedOn w:val="a2"/>
    <w:rsid w:val="00CE6FCC"/>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1">
    <w:name w:val="Medium List 2 Accent 3"/>
    <w:basedOn w:val="a2"/>
    <w:rsid w:val="00CE6FCC"/>
    <w:rPr>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1">
    <w:name w:val="Medium List 2 Accent 4"/>
    <w:basedOn w:val="a2"/>
    <w:rsid w:val="00CE6FCC"/>
    <w:rPr>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1">
    <w:name w:val="Medium List 2 Accent 5"/>
    <w:basedOn w:val="a2"/>
    <w:rsid w:val="00CE6FCC"/>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1">
    <w:name w:val="Medium List 2 Accent 6"/>
    <w:basedOn w:val="a2"/>
    <w:rsid w:val="00CE6FCC"/>
    <w:rPr>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a2"/>
    <w:rsid w:val="00CE6FC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a2"/>
    <w:rsid w:val="00CE6F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2">
    <w:name w:val="Medium Shading 1 Accent 2"/>
    <w:basedOn w:val="a2"/>
    <w:rsid w:val="00CE6FC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2">
    <w:name w:val="Medium Shading 1 Accent 3"/>
    <w:basedOn w:val="a2"/>
    <w:rsid w:val="00CE6FC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2">
    <w:name w:val="Medium Shading 1 Accent 4"/>
    <w:basedOn w:val="a2"/>
    <w:rsid w:val="00CE6FC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2">
    <w:name w:val="Medium Shading 1 Accent 5"/>
    <w:basedOn w:val="a2"/>
    <w:rsid w:val="00CE6FC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2">
    <w:name w:val="Medium Shading 1 Accent 6"/>
    <w:basedOn w:val="a2"/>
    <w:rsid w:val="00CE6FC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a2"/>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a2"/>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2">
    <w:name w:val="Medium Shading 2 Accent 2"/>
    <w:basedOn w:val="a2"/>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2">
    <w:name w:val="Medium Shading 2 Accent 3"/>
    <w:basedOn w:val="a2"/>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2">
    <w:name w:val="Medium Shading 2 Accent 4"/>
    <w:basedOn w:val="a2"/>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2">
    <w:name w:val="Medium Shading 2 Accent 5"/>
    <w:basedOn w:val="a2"/>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2">
    <w:name w:val="Medium Shading 2 Accent 6"/>
    <w:basedOn w:val="a2"/>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9">
    <w:name w:val="Message Header"/>
    <w:basedOn w:val="a"/>
    <w:link w:val="afffa"/>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afffa">
    <w:name w:val="Заголовок сообщения Знак"/>
    <w:basedOn w:val="a1"/>
    <w:link w:val="afff9"/>
    <w:rsid w:val="00CE6FCC"/>
    <w:rPr>
      <w:rFonts w:ascii="Times New Roman" w:eastAsia="SimSun" w:hAnsi="Times New Roman" w:cs="Simplified Arabic"/>
      <w:sz w:val="24"/>
      <w:szCs w:val="24"/>
      <w:shd w:val="pct20" w:color="auto" w:fill="auto"/>
      <w:lang w:bidi="ar-AE"/>
    </w:rPr>
  </w:style>
  <w:style w:type="paragraph" w:styleId="afffb">
    <w:name w:val="Normal (Web)"/>
    <w:basedOn w:val="a"/>
    <w:rsid w:val="00CE6FCC"/>
  </w:style>
  <w:style w:type="paragraph" w:styleId="afffc">
    <w:name w:val="Normal Indent"/>
    <w:basedOn w:val="a"/>
    <w:rsid w:val="00CE6FCC"/>
    <w:pPr>
      <w:ind w:left="720"/>
    </w:pPr>
  </w:style>
  <w:style w:type="paragraph" w:styleId="afffd">
    <w:name w:val="Note Heading"/>
    <w:basedOn w:val="a"/>
    <w:next w:val="a"/>
    <w:link w:val="afffe"/>
    <w:rsid w:val="00CE6FCC"/>
  </w:style>
  <w:style w:type="character" w:customStyle="1" w:styleId="afffe">
    <w:name w:val="Заголовок заметки Знак"/>
    <w:basedOn w:val="a1"/>
    <w:link w:val="afffd"/>
    <w:rsid w:val="00CE6FCC"/>
    <w:rPr>
      <w:sz w:val="24"/>
      <w:szCs w:val="24"/>
      <w:lang w:bidi="ar-AE"/>
    </w:rPr>
  </w:style>
  <w:style w:type="paragraph" w:styleId="affff">
    <w:name w:val="Plain Text"/>
    <w:basedOn w:val="a"/>
    <w:link w:val="affff0"/>
    <w:rsid w:val="00CE6FCC"/>
    <w:rPr>
      <w:rFonts w:ascii="Courier New" w:hAnsi="Courier New" w:cs="Courier New"/>
      <w:sz w:val="20"/>
      <w:szCs w:val="20"/>
    </w:rPr>
  </w:style>
  <w:style w:type="character" w:customStyle="1" w:styleId="affff0">
    <w:name w:val="Обычный текст Знак"/>
    <w:basedOn w:val="a1"/>
    <w:link w:val="affff"/>
    <w:rsid w:val="00CE6FCC"/>
    <w:rPr>
      <w:rFonts w:ascii="Courier New" w:hAnsi="Courier New" w:cs="Courier New"/>
      <w:lang w:bidi="ar-AE"/>
    </w:rPr>
  </w:style>
  <w:style w:type="paragraph" w:styleId="affff1">
    <w:name w:val="Quote"/>
    <w:basedOn w:val="a"/>
    <w:next w:val="a"/>
    <w:link w:val="affff2"/>
    <w:qFormat/>
    <w:rsid w:val="00CE6FCC"/>
    <w:rPr>
      <w:i/>
      <w:iCs/>
      <w:color w:val="000000"/>
    </w:rPr>
  </w:style>
  <w:style w:type="character" w:customStyle="1" w:styleId="affff2">
    <w:name w:val="Цитата Знак"/>
    <w:basedOn w:val="a1"/>
    <w:link w:val="affff1"/>
    <w:rsid w:val="00CE6FCC"/>
    <w:rPr>
      <w:i/>
      <w:iCs/>
      <w:color w:val="000000"/>
      <w:sz w:val="24"/>
      <w:szCs w:val="24"/>
      <w:lang w:bidi="ar-AE"/>
    </w:rPr>
  </w:style>
  <w:style w:type="paragraph" w:styleId="affff3">
    <w:name w:val="Salutation"/>
    <w:basedOn w:val="a"/>
    <w:next w:val="a"/>
    <w:link w:val="affff4"/>
    <w:rsid w:val="00CE6FCC"/>
  </w:style>
  <w:style w:type="character" w:customStyle="1" w:styleId="affff4">
    <w:name w:val="Приветствие Знак"/>
    <w:basedOn w:val="a1"/>
    <w:link w:val="affff3"/>
    <w:rsid w:val="00CE6FCC"/>
    <w:rPr>
      <w:sz w:val="24"/>
      <w:szCs w:val="24"/>
      <w:lang w:bidi="ar-AE"/>
    </w:rPr>
  </w:style>
  <w:style w:type="paragraph" w:styleId="affff5">
    <w:name w:val="Signature"/>
    <w:basedOn w:val="a"/>
    <w:link w:val="affff6"/>
    <w:rsid w:val="00CE6FCC"/>
    <w:pPr>
      <w:ind w:left="4320"/>
    </w:pPr>
  </w:style>
  <w:style w:type="character" w:customStyle="1" w:styleId="affff6">
    <w:name w:val="Подпись Знак"/>
    <w:basedOn w:val="a1"/>
    <w:link w:val="affff5"/>
    <w:rsid w:val="00CE6FCC"/>
    <w:rPr>
      <w:sz w:val="24"/>
      <w:szCs w:val="24"/>
      <w:lang w:bidi="ar-AE"/>
    </w:rPr>
  </w:style>
  <w:style w:type="table" w:styleId="17">
    <w:name w:val="Table 3D effects 1"/>
    <w:basedOn w:val="a2"/>
    <w:rsid w:val="00CE6FCC"/>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rsid w:val="00CE6FCC"/>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3D effects 3"/>
    <w:basedOn w:val="a2"/>
    <w:rsid w:val="00CE6FCC"/>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2"/>
    <w:rsid w:val="00CE6FCC"/>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2"/>
    <w:rsid w:val="00CE6FCC"/>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0">
    <w:name w:val="Table Classic 3"/>
    <w:basedOn w:val="a2"/>
    <w:rsid w:val="00CE6FCC"/>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2"/>
    <w:rsid w:val="00CE6FCC"/>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Colorful 1"/>
    <w:basedOn w:val="a2"/>
    <w:rsid w:val="00CE6FCC"/>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2"/>
    <w:rsid w:val="00CE6FCC"/>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2"/>
    <w:rsid w:val="00CE6FCC"/>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a">
    <w:name w:val="Table Columns 1"/>
    <w:basedOn w:val="a2"/>
    <w:rsid w:val="00CE6FCC"/>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2"/>
    <w:rsid w:val="00CE6FCC"/>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2">
    <w:name w:val="Table Columns 3"/>
    <w:basedOn w:val="a2"/>
    <w:rsid w:val="00CE6FCC"/>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2"/>
    <w:rsid w:val="00CE6FCC"/>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2"/>
    <w:rsid w:val="00CE6FCC"/>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7">
    <w:name w:val="Table Contemporary"/>
    <w:basedOn w:val="a2"/>
    <w:rsid w:val="00CE6FCC"/>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8">
    <w:name w:val="Table Elegant"/>
    <w:basedOn w:val="a2"/>
    <w:rsid w:val="00CE6FCC"/>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Grid 1"/>
    <w:basedOn w:val="a2"/>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2"/>
    <w:rsid w:val="00CE6FCC"/>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2"/>
    <w:rsid w:val="00CE6FCC"/>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2"/>
    <w:rsid w:val="00CE6FCC"/>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c">
    <w:name w:val="Table Grid 5"/>
    <w:basedOn w:val="a2"/>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9">
    <w:name w:val="Table Grid 6"/>
    <w:basedOn w:val="a2"/>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rsid w:val="00CE6FCC"/>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rsid w:val="00CE6FCC"/>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rsid w:val="00CE6FCC"/>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rsid w:val="00CE6FCC"/>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rsid w:val="00CE6FCC"/>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rsid w:val="00CE6FCC"/>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rsid w:val="00CE6FCC"/>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rsid w:val="00CE6FCC"/>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9">
    <w:name w:val="table of authorities"/>
    <w:basedOn w:val="a"/>
    <w:next w:val="a"/>
    <w:rsid w:val="00CE6FCC"/>
    <w:pPr>
      <w:ind w:left="240" w:hanging="240"/>
    </w:pPr>
  </w:style>
  <w:style w:type="paragraph" w:styleId="affffa">
    <w:name w:val="table of figures"/>
    <w:basedOn w:val="a"/>
    <w:next w:val="a"/>
    <w:rsid w:val="00CE6FCC"/>
  </w:style>
  <w:style w:type="table" w:styleId="affffb">
    <w:name w:val="Table Professional"/>
    <w:basedOn w:val="a2"/>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2"/>
    <w:rsid w:val="00CE6FCC"/>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2"/>
    <w:rsid w:val="00CE6FCC"/>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2"/>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2"/>
    <w:rsid w:val="00CE6FCC"/>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2"/>
    <w:rsid w:val="00CE6FCC"/>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c">
    <w:name w:val="Table Theme"/>
    <w:basedOn w:val="a2"/>
    <w:rsid w:val="00CE6FCC"/>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Web 1"/>
    <w:basedOn w:val="a2"/>
    <w:rsid w:val="00CE6FCC"/>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rsid w:val="00CE6FCC"/>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rsid w:val="00CE6FCC"/>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d">
    <w:name w:val="toa heading"/>
    <w:basedOn w:val="a"/>
    <w:next w:val="a"/>
    <w:rsid w:val="00CE6FCC"/>
    <w:pPr>
      <w:spacing w:before="120"/>
    </w:pPr>
    <w:rPr>
      <w:rFonts w:cs="Simplified Arabic"/>
      <w:b/>
      <w:bCs/>
    </w:rPr>
  </w:style>
  <w:style w:type="paragraph" w:styleId="3f5">
    <w:name w:val="toc 3"/>
    <w:basedOn w:val="a"/>
    <w:next w:val="a"/>
    <w:autoRedefine/>
    <w:rsid w:val="00CE6FCC"/>
    <w:pPr>
      <w:ind w:left="480"/>
    </w:pPr>
  </w:style>
  <w:style w:type="paragraph" w:styleId="4e">
    <w:name w:val="toc 4"/>
    <w:basedOn w:val="a"/>
    <w:next w:val="a"/>
    <w:autoRedefine/>
    <w:rsid w:val="00CE6FCC"/>
    <w:pPr>
      <w:ind w:left="720"/>
    </w:pPr>
  </w:style>
  <w:style w:type="paragraph" w:styleId="5d">
    <w:name w:val="toc 5"/>
    <w:basedOn w:val="a"/>
    <w:next w:val="a"/>
    <w:autoRedefine/>
    <w:rsid w:val="00CE6FCC"/>
    <w:pPr>
      <w:ind w:left="960"/>
    </w:pPr>
  </w:style>
  <w:style w:type="paragraph" w:styleId="6a">
    <w:name w:val="toc 6"/>
    <w:basedOn w:val="a"/>
    <w:next w:val="a"/>
    <w:autoRedefine/>
    <w:rsid w:val="00CE6FCC"/>
    <w:pPr>
      <w:ind w:left="1200"/>
    </w:pPr>
  </w:style>
  <w:style w:type="paragraph" w:styleId="73">
    <w:name w:val="toc 7"/>
    <w:basedOn w:val="a"/>
    <w:next w:val="a"/>
    <w:autoRedefine/>
    <w:rsid w:val="00CE6FCC"/>
    <w:pPr>
      <w:ind w:left="1440"/>
    </w:pPr>
  </w:style>
  <w:style w:type="paragraph" w:styleId="83">
    <w:name w:val="toc 8"/>
    <w:basedOn w:val="a"/>
    <w:next w:val="a"/>
    <w:autoRedefine/>
    <w:rsid w:val="00CE6FCC"/>
    <w:pPr>
      <w:ind w:left="1680"/>
    </w:pPr>
  </w:style>
  <w:style w:type="paragraph" w:styleId="92">
    <w:name w:val="toc 9"/>
    <w:basedOn w:val="a"/>
    <w:next w:val="a"/>
    <w:autoRedefine/>
    <w:rsid w:val="00CE6FCC"/>
    <w:pPr>
      <w:ind w:left="1920"/>
    </w:pPr>
  </w:style>
  <w:style w:type="paragraph" w:customStyle="1" w:styleId="StandardL9">
    <w:name w:val="Standard L9"/>
    <w:basedOn w:val="a"/>
    <w:next w:val="31"/>
    <w:link w:val="StandardL9Char"/>
    <w:rsid w:val="00FF592B"/>
    <w:pPr>
      <w:numPr>
        <w:ilvl w:val="8"/>
        <w:numId w:val="2"/>
      </w:numPr>
      <w:outlineLvl w:val="8"/>
    </w:pPr>
  </w:style>
  <w:style w:type="character" w:customStyle="1" w:styleId="StandardL9Char">
    <w:name w:val="Standard L9 Char"/>
    <w:basedOn w:val="a1"/>
    <w:link w:val="StandardL9"/>
    <w:rsid w:val="00FF592B"/>
    <w:rPr>
      <w:sz w:val="24"/>
      <w:szCs w:val="24"/>
      <w:lang w:bidi="ar-AE"/>
    </w:rPr>
  </w:style>
  <w:style w:type="paragraph" w:customStyle="1" w:styleId="StandardL8">
    <w:name w:val="Standard L8"/>
    <w:basedOn w:val="a"/>
    <w:next w:val="21"/>
    <w:link w:val="StandardL8Char"/>
    <w:rsid w:val="00FF592B"/>
    <w:pPr>
      <w:numPr>
        <w:ilvl w:val="7"/>
        <w:numId w:val="2"/>
      </w:numPr>
      <w:outlineLvl w:val="7"/>
    </w:pPr>
  </w:style>
  <w:style w:type="character" w:customStyle="1" w:styleId="StandardL8Char">
    <w:name w:val="Standard L8 Char"/>
    <w:basedOn w:val="a1"/>
    <w:link w:val="StandardL8"/>
    <w:rsid w:val="00FF592B"/>
    <w:rPr>
      <w:sz w:val="24"/>
      <w:szCs w:val="24"/>
      <w:lang w:bidi="ar-AE"/>
    </w:rPr>
  </w:style>
  <w:style w:type="paragraph" w:customStyle="1" w:styleId="StandardL7">
    <w:name w:val="Standard L7"/>
    <w:basedOn w:val="a"/>
    <w:next w:val="BodyText6"/>
    <w:link w:val="StandardL7Char"/>
    <w:rsid w:val="00FF592B"/>
    <w:pPr>
      <w:numPr>
        <w:ilvl w:val="6"/>
        <w:numId w:val="2"/>
      </w:numPr>
      <w:outlineLvl w:val="6"/>
    </w:pPr>
  </w:style>
  <w:style w:type="character" w:customStyle="1" w:styleId="StandardL7Char">
    <w:name w:val="Standard L7 Char"/>
    <w:basedOn w:val="a1"/>
    <w:link w:val="StandardL7"/>
    <w:rsid w:val="00FF592B"/>
    <w:rPr>
      <w:sz w:val="24"/>
      <w:szCs w:val="24"/>
      <w:lang w:bidi="ar-AE"/>
    </w:rPr>
  </w:style>
  <w:style w:type="paragraph" w:customStyle="1" w:styleId="StandardL6">
    <w:name w:val="Standard L6"/>
    <w:basedOn w:val="a"/>
    <w:next w:val="BodyText5"/>
    <w:link w:val="StandardL6Char"/>
    <w:rsid w:val="00FF592B"/>
    <w:pPr>
      <w:numPr>
        <w:ilvl w:val="5"/>
        <w:numId w:val="2"/>
      </w:numPr>
      <w:outlineLvl w:val="5"/>
    </w:pPr>
  </w:style>
  <w:style w:type="character" w:customStyle="1" w:styleId="StandardL6Char">
    <w:name w:val="Standard L6 Char"/>
    <w:basedOn w:val="a1"/>
    <w:link w:val="StandardL6"/>
    <w:rsid w:val="00FF592B"/>
    <w:rPr>
      <w:sz w:val="24"/>
      <w:szCs w:val="24"/>
      <w:lang w:bidi="ar-AE"/>
    </w:rPr>
  </w:style>
  <w:style w:type="paragraph" w:customStyle="1" w:styleId="StandardL5">
    <w:name w:val="Standard L5"/>
    <w:basedOn w:val="a"/>
    <w:next w:val="BodyText4"/>
    <w:link w:val="StandardL5Char"/>
    <w:rsid w:val="00FF592B"/>
    <w:pPr>
      <w:numPr>
        <w:ilvl w:val="4"/>
        <w:numId w:val="2"/>
      </w:numPr>
      <w:outlineLvl w:val="4"/>
    </w:pPr>
  </w:style>
  <w:style w:type="paragraph" w:customStyle="1" w:styleId="BulletL9">
    <w:name w:val="Bullet L9"/>
    <w:basedOn w:val="a"/>
    <w:link w:val="BulletL9Char"/>
    <w:rsid w:val="00FF592B"/>
    <w:pPr>
      <w:numPr>
        <w:ilvl w:val="8"/>
        <w:numId w:val="1"/>
      </w:numPr>
      <w:outlineLvl w:val="8"/>
    </w:pPr>
  </w:style>
  <w:style w:type="character" w:customStyle="1" w:styleId="BulletL9Char">
    <w:name w:val="Bullet L9 Char"/>
    <w:basedOn w:val="a1"/>
    <w:link w:val="BulletL9"/>
    <w:rsid w:val="00FF592B"/>
    <w:rPr>
      <w:sz w:val="24"/>
      <w:szCs w:val="24"/>
      <w:lang w:bidi="ar-AE"/>
    </w:rPr>
  </w:style>
  <w:style w:type="paragraph" w:customStyle="1" w:styleId="BulletL8">
    <w:name w:val="Bullet L8"/>
    <w:basedOn w:val="a"/>
    <w:link w:val="BulletL8Char"/>
    <w:rsid w:val="00FF592B"/>
    <w:pPr>
      <w:numPr>
        <w:ilvl w:val="7"/>
        <w:numId w:val="1"/>
      </w:numPr>
      <w:outlineLvl w:val="7"/>
    </w:pPr>
  </w:style>
  <w:style w:type="character" w:customStyle="1" w:styleId="BulletL8Char">
    <w:name w:val="Bullet L8 Char"/>
    <w:basedOn w:val="a1"/>
    <w:link w:val="BulletL8"/>
    <w:rsid w:val="00FF592B"/>
    <w:rPr>
      <w:sz w:val="24"/>
      <w:szCs w:val="24"/>
      <w:lang w:bidi="ar-AE"/>
    </w:rPr>
  </w:style>
  <w:style w:type="paragraph" w:customStyle="1" w:styleId="BulletL7">
    <w:name w:val="Bullet L7"/>
    <w:basedOn w:val="a"/>
    <w:link w:val="BulletL7Char"/>
    <w:rsid w:val="00FF592B"/>
    <w:pPr>
      <w:numPr>
        <w:ilvl w:val="6"/>
        <w:numId w:val="1"/>
      </w:numPr>
      <w:outlineLvl w:val="6"/>
    </w:pPr>
  </w:style>
  <w:style w:type="character" w:customStyle="1" w:styleId="BulletL7Char">
    <w:name w:val="Bullet L7 Char"/>
    <w:basedOn w:val="a1"/>
    <w:link w:val="BulletL7"/>
    <w:rsid w:val="00FF592B"/>
    <w:rPr>
      <w:sz w:val="24"/>
      <w:szCs w:val="24"/>
      <w:lang w:bidi="ar-AE"/>
    </w:rPr>
  </w:style>
  <w:style w:type="paragraph" w:customStyle="1" w:styleId="BulletL6">
    <w:name w:val="Bullet L6"/>
    <w:basedOn w:val="a"/>
    <w:link w:val="BulletL6Char"/>
    <w:rsid w:val="00FF592B"/>
    <w:pPr>
      <w:numPr>
        <w:ilvl w:val="5"/>
        <w:numId w:val="1"/>
      </w:numPr>
      <w:outlineLvl w:val="5"/>
    </w:pPr>
  </w:style>
  <w:style w:type="character" w:customStyle="1" w:styleId="BulletL6Char">
    <w:name w:val="Bullet L6 Char"/>
    <w:basedOn w:val="a1"/>
    <w:link w:val="BulletL6"/>
    <w:rsid w:val="00FF592B"/>
    <w:rPr>
      <w:sz w:val="24"/>
      <w:szCs w:val="24"/>
      <w:lang w:bidi="ar-AE"/>
    </w:rPr>
  </w:style>
  <w:style w:type="paragraph" w:customStyle="1" w:styleId="BulletL5">
    <w:name w:val="Bullet L5"/>
    <w:basedOn w:val="a"/>
    <w:link w:val="BulletL5Char"/>
    <w:rsid w:val="00FF592B"/>
    <w:pPr>
      <w:numPr>
        <w:ilvl w:val="4"/>
        <w:numId w:val="1"/>
      </w:numPr>
      <w:outlineLvl w:val="4"/>
    </w:pPr>
  </w:style>
  <w:style w:type="character" w:customStyle="1" w:styleId="BulletL5Char">
    <w:name w:val="Bullet L5 Char"/>
    <w:basedOn w:val="a1"/>
    <w:link w:val="BulletL5"/>
    <w:rsid w:val="00FF592B"/>
    <w:rPr>
      <w:sz w:val="24"/>
      <w:szCs w:val="24"/>
      <w:lang w:bidi="ar-AE"/>
    </w:rPr>
  </w:style>
  <w:style w:type="paragraph" w:customStyle="1" w:styleId="BulletL4">
    <w:name w:val="Bullet L4"/>
    <w:basedOn w:val="a"/>
    <w:link w:val="BulletL4Char"/>
    <w:rsid w:val="00FF592B"/>
    <w:pPr>
      <w:numPr>
        <w:ilvl w:val="3"/>
        <w:numId w:val="1"/>
      </w:numPr>
      <w:outlineLvl w:val="3"/>
    </w:pPr>
  </w:style>
  <w:style w:type="character" w:customStyle="1" w:styleId="BulletL4Char">
    <w:name w:val="Bullet L4 Char"/>
    <w:basedOn w:val="a1"/>
    <w:link w:val="BulletL4"/>
    <w:rsid w:val="00FF592B"/>
    <w:rPr>
      <w:sz w:val="24"/>
      <w:szCs w:val="24"/>
      <w:lang w:bidi="ar-AE"/>
    </w:rPr>
  </w:style>
  <w:style w:type="paragraph" w:customStyle="1" w:styleId="BulletL3">
    <w:name w:val="Bullet L3"/>
    <w:basedOn w:val="a"/>
    <w:link w:val="BulletL3Char"/>
    <w:rsid w:val="00FF592B"/>
    <w:pPr>
      <w:numPr>
        <w:ilvl w:val="2"/>
        <w:numId w:val="1"/>
      </w:numPr>
      <w:outlineLvl w:val="2"/>
    </w:pPr>
  </w:style>
  <w:style w:type="character" w:customStyle="1" w:styleId="BulletL3Char">
    <w:name w:val="Bullet L3 Char"/>
    <w:basedOn w:val="a1"/>
    <w:link w:val="BulletL3"/>
    <w:rsid w:val="00FF592B"/>
    <w:rPr>
      <w:sz w:val="24"/>
      <w:szCs w:val="24"/>
      <w:lang w:bidi="ar-AE"/>
    </w:rPr>
  </w:style>
  <w:style w:type="paragraph" w:customStyle="1" w:styleId="BulletL2">
    <w:name w:val="Bullet L2"/>
    <w:basedOn w:val="a"/>
    <w:link w:val="BulletL2Char"/>
    <w:rsid w:val="00FF592B"/>
    <w:pPr>
      <w:numPr>
        <w:ilvl w:val="1"/>
        <w:numId w:val="1"/>
      </w:numPr>
      <w:outlineLvl w:val="1"/>
    </w:pPr>
  </w:style>
  <w:style w:type="character" w:customStyle="1" w:styleId="BulletL2Char">
    <w:name w:val="Bullet L2 Char"/>
    <w:basedOn w:val="a1"/>
    <w:link w:val="BulletL2"/>
    <w:rsid w:val="00FF592B"/>
    <w:rPr>
      <w:sz w:val="24"/>
      <w:szCs w:val="24"/>
      <w:lang w:bidi="ar-AE"/>
    </w:rPr>
  </w:style>
  <w:style w:type="paragraph" w:customStyle="1" w:styleId="BulletL1">
    <w:name w:val="Bullet L1"/>
    <w:basedOn w:val="a"/>
    <w:link w:val="BulletL1Char"/>
    <w:rsid w:val="00FF592B"/>
    <w:pPr>
      <w:numPr>
        <w:numId w:val="1"/>
      </w:numPr>
      <w:outlineLvl w:val="0"/>
    </w:pPr>
  </w:style>
  <w:style w:type="character" w:customStyle="1" w:styleId="BulletL1Char">
    <w:name w:val="Bullet L1 Char"/>
    <w:basedOn w:val="a1"/>
    <w:link w:val="BulletL1"/>
    <w:rsid w:val="00FF592B"/>
    <w:rPr>
      <w:sz w:val="24"/>
      <w:szCs w:val="24"/>
      <w:lang w:bidi="ar-AE"/>
    </w:rPr>
  </w:style>
  <w:style w:type="character" w:customStyle="1" w:styleId="StandardL5Char">
    <w:name w:val="Standard L5 Char"/>
    <w:basedOn w:val="a1"/>
    <w:link w:val="StandardL5"/>
    <w:rsid w:val="00FF592B"/>
    <w:rPr>
      <w:sz w:val="24"/>
      <w:szCs w:val="24"/>
      <w:lang w:bidi="ar-AE"/>
    </w:rPr>
  </w:style>
  <w:style w:type="paragraph" w:customStyle="1" w:styleId="StandardL4">
    <w:name w:val="Standard L4"/>
    <w:basedOn w:val="a"/>
    <w:next w:val="31"/>
    <w:link w:val="StandardL4Char"/>
    <w:rsid w:val="00FF592B"/>
    <w:pPr>
      <w:numPr>
        <w:ilvl w:val="3"/>
        <w:numId w:val="2"/>
      </w:numPr>
      <w:outlineLvl w:val="3"/>
    </w:pPr>
  </w:style>
  <w:style w:type="character" w:customStyle="1" w:styleId="StandardL4Char">
    <w:name w:val="Standard L4 Char"/>
    <w:basedOn w:val="a1"/>
    <w:link w:val="StandardL4"/>
    <w:rsid w:val="00FF592B"/>
    <w:rPr>
      <w:sz w:val="24"/>
      <w:szCs w:val="24"/>
      <w:lang w:bidi="ar-AE"/>
    </w:rPr>
  </w:style>
  <w:style w:type="paragraph" w:customStyle="1" w:styleId="StandardL3">
    <w:name w:val="Standard L3"/>
    <w:basedOn w:val="a"/>
    <w:next w:val="21"/>
    <w:link w:val="StandardL3Char"/>
    <w:rsid w:val="00FF592B"/>
    <w:pPr>
      <w:numPr>
        <w:ilvl w:val="2"/>
        <w:numId w:val="2"/>
      </w:numPr>
      <w:outlineLvl w:val="2"/>
    </w:pPr>
  </w:style>
  <w:style w:type="character" w:customStyle="1" w:styleId="StandardL3Char">
    <w:name w:val="Standard L3 Char"/>
    <w:basedOn w:val="a1"/>
    <w:link w:val="StandardL3"/>
    <w:rsid w:val="00FF592B"/>
    <w:rPr>
      <w:sz w:val="24"/>
      <w:szCs w:val="24"/>
      <w:lang w:bidi="ar-AE"/>
    </w:rPr>
  </w:style>
  <w:style w:type="paragraph" w:customStyle="1" w:styleId="StandardL2">
    <w:name w:val="Standard L2"/>
    <w:basedOn w:val="a"/>
    <w:next w:val="BodyText1"/>
    <w:link w:val="StandardL2Char"/>
    <w:rsid w:val="00FF592B"/>
    <w:pPr>
      <w:numPr>
        <w:ilvl w:val="1"/>
        <w:numId w:val="2"/>
      </w:numPr>
      <w:outlineLvl w:val="1"/>
    </w:pPr>
  </w:style>
  <w:style w:type="character" w:customStyle="1" w:styleId="StandardL2Char">
    <w:name w:val="Standard L2 Char"/>
    <w:basedOn w:val="a1"/>
    <w:link w:val="StandardL2"/>
    <w:rsid w:val="00FF592B"/>
    <w:rPr>
      <w:sz w:val="24"/>
      <w:szCs w:val="24"/>
      <w:lang w:bidi="ar-AE"/>
    </w:rPr>
  </w:style>
  <w:style w:type="paragraph" w:customStyle="1" w:styleId="StandardL1">
    <w:name w:val="Standard L1"/>
    <w:basedOn w:val="a"/>
    <w:next w:val="BodyText1"/>
    <w:link w:val="StandardL1Char"/>
    <w:rsid w:val="00FF592B"/>
    <w:pPr>
      <w:keepNext/>
      <w:numPr>
        <w:numId w:val="2"/>
      </w:numPr>
      <w:suppressAutoHyphens/>
      <w:jc w:val="left"/>
      <w:outlineLvl w:val="0"/>
    </w:pPr>
    <w:rPr>
      <w:b/>
      <w:caps/>
    </w:rPr>
  </w:style>
  <w:style w:type="character" w:customStyle="1" w:styleId="StandardL1Char">
    <w:name w:val="Standard L1 Char"/>
    <w:basedOn w:val="a1"/>
    <w:link w:val="StandardL1"/>
    <w:rsid w:val="00FF592B"/>
    <w:rPr>
      <w:b/>
      <w:caps/>
      <w:sz w:val="24"/>
      <w:szCs w:val="24"/>
      <w:lang w:bidi="ar-AE"/>
    </w:rPr>
  </w:style>
  <w:style w:type="paragraph" w:customStyle="1" w:styleId="Regulatory">
    <w:name w:val="Regulatory"/>
    <w:basedOn w:val="a"/>
    <w:next w:val="a6"/>
    <w:semiHidden/>
    <w:rsid w:val="00C62EEB"/>
    <w:pPr>
      <w:spacing w:before="120" w:line="288" w:lineRule="auto"/>
      <w:jc w:val="left"/>
    </w:pPr>
    <w:rPr>
      <w:rFonts w:ascii="Arial" w:hAnsi="Arial"/>
      <w:caps/>
      <w:spacing w:val="8"/>
      <w:sz w:val="14"/>
      <w:szCs w:val="14"/>
    </w:rPr>
  </w:style>
  <w:style w:type="character" w:styleId="affffe">
    <w:name w:val="Placeholder Text"/>
    <w:basedOn w:val="a1"/>
    <w:rsid w:val="005A0635"/>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bl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9DDABEB4-72C2-4880-840C-8E454F5FECE3}"/>
      </w:docPartPr>
      <w:docPartBody>
        <w:p w:rsidR="00112E12" w:rsidRDefault="00112E12">
          <w:r w:rsidRPr="00301C18">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0000000000000000000"/>
    <w:charset w:val="86"/>
    <w:family w:val="auto"/>
    <w:notTrueType/>
    <w:pitch w:val="variable"/>
    <w:sig w:usb0="00000001" w:usb1="080E0000" w:usb2="00000010" w:usb3="00000000" w:csb0="00040000"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12E12"/>
    <w:rsid w:val="001105E0"/>
    <w:rsid w:val="00112E12"/>
    <w:rsid w:val="00133498"/>
    <w:rsid w:val="002F4D49"/>
    <w:rsid w:val="003000CA"/>
    <w:rsid w:val="00322CE9"/>
    <w:rsid w:val="003E14C9"/>
    <w:rsid w:val="00434DA1"/>
    <w:rsid w:val="0074048F"/>
    <w:rsid w:val="00744E58"/>
    <w:rsid w:val="00861A77"/>
    <w:rsid w:val="0086639B"/>
    <w:rsid w:val="009D5990"/>
    <w:rsid w:val="009E1AEA"/>
    <w:rsid w:val="00AB1B34"/>
    <w:rsid w:val="00AB3838"/>
    <w:rsid w:val="00C32358"/>
    <w:rsid w:val="00CE45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E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sid w:val="00112E12"/>
    <w:rPr>
      <w:color w:val="808080"/>
    </w:rPr>
  </w:style>
  <w:style w:type="paragraph" w:customStyle="1" w:styleId="F3F3D69C3EB842038694BD2FE9790EC8">
    <w:name w:val="F3F3D69C3EB842038694BD2FE9790EC8"/>
    <w:rsid w:val="00744E5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CUsual">
      <a:majorFont>
        <a:latin typeface="Times New Roman"/>
        <a:ea typeface="SimSun"/>
        <a:cs typeface="Simplified Arabic"/>
      </a:majorFont>
      <a:minorFont>
        <a:latin typeface="Times New Roman"/>
        <a:ea typeface="SimSun"/>
        <a:cs typeface="Simplified Arabic"/>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\Program Files\Microsoft Office\Templates\CCTemplates\Core\blank.dotm</Template>
  <TotalTime>2</TotalTime>
  <Pages>7</Pages>
  <Words>2867</Words>
  <Characters>16343</Characters>
  <Application>Microsoft Macintosh Word</Application>
  <DocSecurity>0</DocSecurity>
  <Lines>136</Lines>
  <Paragraphs>38</Paragraphs>
  <ScaleCrop>false</ScaleCrop>
  <TitlesOfParts>
    <vt:vector size="1" baseType="lpstr">
      <vt:lpstr/>
    </vt:vector>
  </TitlesOfParts>
  <Company/>
  <LinksUpToDate>false</LinksUpToDate>
  <CharactersWithSpaces>19172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мм</cp:lastModifiedBy>
  <cp:revision>4</cp:revision>
  <dcterms:created xsi:type="dcterms:W3CDTF">2019-01-25T20:08:00Z</dcterms:created>
  <dcterms:modified xsi:type="dcterms:W3CDTF">2019-01-25T20:11:00Z</dcterms:modified>
</cp:coreProperties>
</file>