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AOGS - Оригинальная статья-исследование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Кольпоскопия</w:t>
      </w:r>
      <w:proofErr w:type="spellEnd"/>
      <w:r>
        <w:rPr>
          <w:rFonts w:ascii="Calibri" w:hAnsi="Calibri" w:cs="Calibri"/>
          <w:b/>
          <w:bCs/>
        </w:rPr>
        <w:t xml:space="preserve"> и дополнительная диагностическая ценность биопсии в областях с отрицательной реакцией на тест Шиллера для выявления дисплазии шейки матки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Ингрид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Баасланд</w:t>
      </w:r>
      <w:proofErr w:type="spellEnd"/>
      <w:r>
        <w:rPr>
          <w:rFonts w:ascii="Calibri" w:hAnsi="Calibri" w:cs="Calibri"/>
        </w:rPr>
        <w:t xml:space="preserve">, Бьёрн </w:t>
      </w:r>
      <w:proofErr w:type="spellStart"/>
      <w:r>
        <w:rPr>
          <w:rFonts w:ascii="Calibri" w:hAnsi="Calibri" w:cs="Calibri"/>
        </w:rPr>
        <w:t>Хаген</w:t>
      </w:r>
      <w:proofErr w:type="spellEnd"/>
      <w:r>
        <w:rPr>
          <w:rFonts w:ascii="Calibri" w:hAnsi="Calibri" w:cs="Calibri"/>
        </w:rPr>
        <w:t xml:space="preserve">, Кристина </w:t>
      </w:r>
      <w:proofErr w:type="spellStart"/>
      <w:r>
        <w:rPr>
          <w:rFonts w:ascii="Calibri" w:hAnsi="Calibri" w:cs="Calibri"/>
        </w:rPr>
        <w:t>Вогт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Марит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Валла</w:t>
      </w:r>
      <w:proofErr w:type="spellEnd"/>
      <w:r>
        <w:rPr>
          <w:rFonts w:ascii="Calibri" w:hAnsi="Calibri" w:cs="Calibri"/>
        </w:rPr>
        <w:t xml:space="preserve">, Пал </w:t>
      </w:r>
      <w:proofErr w:type="spellStart"/>
      <w:r>
        <w:rPr>
          <w:rFonts w:ascii="Calibri" w:hAnsi="Calibri" w:cs="Calibri"/>
        </w:rPr>
        <w:t>Ромунстад</w:t>
      </w:r>
      <w:proofErr w:type="spellEnd"/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Отделение здравоохранения и общей практики, Норвежский университет науки и технологии, </w:t>
      </w:r>
      <w:proofErr w:type="spellStart"/>
      <w:r>
        <w:rPr>
          <w:rFonts w:ascii="Calibri" w:hAnsi="Calibri" w:cs="Calibri"/>
        </w:rPr>
        <w:t>Тронхейм</w:t>
      </w:r>
      <w:proofErr w:type="spellEnd"/>
      <w:r>
        <w:rPr>
          <w:rFonts w:ascii="Calibri" w:hAnsi="Calibri" w:cs="Calibri"/>
        </w:rPr>
        <w:t>,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Отделение акушерства и гинекологии, Госпиталь св. </w:t>
      </w:r>
      <w:proofErr w:type="spellStart"/>
      <w:r>
        <w:rPr>
          <w:rFonts w:ascii="Calibri" w:hAnsi="Calibri" w:cs="Calibri"/>
        </w:rPr>
        <w:t>Олава</w:t>
      </w:r>
      <w:proofErr w:type="spellEnd"/>
      <w:r>
        <w:rPr>
          <w:rFonts w:ascii="Calibri" w:hAnsi="Calibri" w:cs="Calibri"/>
        </w:rPr>
        <w:t xml:space="preserve">, Госпиталь </w:t>
      </w:r>
      <w:proofErr w:type="spellStart"/>
      <w:r>
        <w:rPr>
          <w:rFonts w:ascii="Calibri" w:hAnsi="Calibri" w:cs="Calibri"/>
        </w:rPr>
        <w:t>Тронхеймского</w:t>
      </w:r>
      <w:proofErr w:type="spellEnd"/>
      <w:r>
        <w:rPr>
          <w:rFonts w:ascii="Calibri" w:hAnsi="Calibri" w:cs="Calibri"/>
        </w:rPr>
        <w:t xml:space="preserve"> университета, </w:t>
      </w:r>
      <w:proofErr w:type="spellStart"/>
      <w:r>
        <w:rPr>
          <w:rFonts w:ascii="Calibri" w:hAnsi="Calibri" w:cs="Calibri"/>
        </w:rPr>
        <w:t>Тронхейм</w:t>
      </w:r>
      <w:proofErr w:type="spellEnd"/>
      <w:r>
        <w:rPr>
          <w:rFonts w:ascii="Calibri" w:hAnsi="Calibri" w:cs="Calibri"/>
        </w:rPr>
        <w:t>,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Отделение лабораторной медицины, детского и женского здоровья, Норвежский университет науки и технологии, </w:t>
      </w:r>
      <w:proofErr w:type="spellStart"/>
      <w:r>
        <w:rPr>
          <w:rFonts w:ascii="Calibri" w:hAnsi="Calibri" w:cs="Calibri"/>
        </w:rPr>
        <w:t>Тронхейм</w:t>
      </w:r>
      <w:proofErr w:type="spellEnd"/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DF1A87">
        <w:rPr>
          <w:rFonts w:ascii="Calibri" w:hAnsi="Calibri" w:cs="Calibri"/>
        </w:rPr>
        <w:t xml:space="preserve">Отделение </w:t>
      </w:r>
      <w:proofErr w:type="spellStart"/>
      <w:r>
        <w:rPr>
          <w:rFonts w:ascii="Calibri" w:hAnsi="Calibri" w:cs="Calibri"/>
        </w:rPr>
        <w:t>паталогии</w:t>
      </w:r>
      <w:proofErr w:type="spellEnd"/>
      <w:r>
        <w:rPr>
          <w:rFonts w:ascii="Calibri" w:hAnsi="Calibri" w:cs="Calibri"/>
        </w:rPr>
        <w:t xml:space="preserve"> и медицинской генетики, Госпиталь святого </w:t>
      </w:r>
      <w:proofErr w:type="spellStart"/>
      <w:r>
        <w:rPr>
          <w:rFonts w:ascii="Calibri" w:hAnsi="Calibri" w:cs="Calibri"/>
        </w:rPr>
        <w:t>Олава</w:t>
      </w:r>
      <w:proofErr w:type="spellEnd"/>
      <w:r>
        <w:rPr>
          <w:rFonts w:ascii="Calibri" w:hAnsi="Calibri" w:cs="Calibri"/>
        </w:rPr>
        <w:t xml:space="preserve">, Госпиталь </w:t>
      </w:r>
      <w:proofErr w:type="spellStart"/>
      <w:r>
        <w:rPr>
          <w:rFonts w:ascii="Calibri" w:hAnsi="Calibri" w:cs="Calibri"/>
        </w:rPr>
        <w:t>Тронхеймского</w:t>
      </w:r>
      <w:proofErr w:type="spellEnd"/>
      <w:r>
        <w:rPr>
          <w:rFonts w:ascii="Calibri" w:hAnsi="Calibri" w:cs="Calibri"/>
        </w:rPr>
        <w:t xml:space="preserve"> университета, </w:t>
      </w:r>
      <w:proofErr w:type="spellStart"/>
      <w:r>
        <w:rPr>
          <w:rFonts w:ascii="Calibri" w:hAnsi="Calibri" w:cs="Calibri"/>
        </w:rPr>
        <w:t>Тронхейм</w:t>
      </w:r>
      <w:proofErr w:type="spellEnd"/>
      <w:r>
        <w:rPr>
          <w:rFonts w:ascii="Calibri" w:hAnsi="Calibri" w:cs="Calibri"/>
        </w:rPr>
        <w:t>, Норвегия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Ключевые слова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Дополнительная биопсия, цервикальная </w:t>
      </w:r>
      <w:proofErr w:type="spellStart"/>
      <w:r>
        <w:rPr>
          <w:rFonts w:ascii="Calibri" w:hAnsi="Calibri" w:cs="Calibri"/>
        </w:rPr>
        <w:t>интраэпителиальная</w:t>
      </w:r>
      <w:proofErr w:type="spellEnd"/>
      <w:r>
        <w:rPr>
          <w:rFonts w:ascii="Calibri" w:hAnsi="Calibri" w:cs="Calibri"/>
        </w:rPr>
        <w:t xml:space="preserve"> неоплазия,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>, отрицательные пробы Шиллера, положительные пробы Шиллера, выскабливание цервикального канала (</w:t>
      </w:r>
      <w:proofErr w:type="spellStart"/>
      <w:r>
        <w:rPr>
          <w:rFonts w:ascii="Calibri" w:hAnsi="Calibri" w:cs="Calibri"/>
        </w:rPr>
        <w:t>эндоцервикальный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</w:t>
      </w:r>
      <w:proofErr w:type="spellEnd"/>
      <w:r>
        <w:rPr>
          <w:rFonts w:ascii="Calibri" w:hAnsi="Calibri" w:cs="Calibri"/>
        </w:rPr>
        <w:t>)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Адрес для корреспонденции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color w:val="1A171C"/>
        </w:rPr>
      </w:pPr>
      <w:proofErr w:type="spellStart"/>
      <w:r>
        <w:rPr>
          <w:rFonts w:ascii="Calibri" w:hAnsi="Calibri" w:cs="Calibri"/>
        </w:rPr>
        <w:t>Ингрид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Баасланд</w:t>
      </w:r>
      <w:proofErr w:type="spellEnd"/>
      <w:r>
        <w:rPr>
          <w:rFonts w:ascii="Calibri" w:hAnsi="Calibri" w:cs="Calibri"/>
        </w:rPr>
        <w:t xml:space="preserve">, Отделение здравоохранения, Норвежский университет науки и технологии, абонентский ящик 8905, Центр медицинских исследований </w:t>
      </w:r>
      <w:r>
        <w:rPr>
          <w:rFonts w:ascii="Calibri" w:hAnsi="Calibri" w:cs="Calibri"/>
          <w:color w:val="1A171C"/>
        </w:rPr>
        <w:t xml:space="preserve">(MTFS), Н-7491 </w:t>
      </w:r>
      <w:proofErr w:type="spellStart"/>
      <w:r>
        <w:rPr>
          <w:rFonts w:ascii="Calibri" w:hAnsi="Calibri" w:cs="Calibri"/>
          <w:color w:val="1A171C"/>
        </w:rPr>
        <w:t>Тронхейм</w:t>
      </w:r>
      <w:proofErr w:type="spellEnd"/>
      <w:r>
        <w:rPr>
          <w:rFonts w:ascii="Calibri" w:hAnsi="Calibri" w:cs="Calibri"/>
          <w:color w:val="1A171C"/>
        </w:rPr>
        <w:t>, Норвегия.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1A171C"/>
        </w:rPr>
        <w:t xml:space="preserve">Электронная почта: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ingrid.baasland@ntnu.no</w:t>
        </w:r>
      </w:hyperlink>
      <w:r>
        <w:rPr>
          <w:rFonts w:ascii="Calibri" w:hAnsi="Calibri" w:cs="Calibri"/>
        </w:rPr>
        <w:br/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Краткое содержание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Введение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проанализировали ценность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в повседневной диагностической практике для женщин с аномальной цитологией шейки матки, а также выявили диагностическую ценность материала, полученного в ходе </w:t>
      </w:r>
      <w:proofErr w:type="spellStart"/>
      <w:r>
        <w:rPr>
          <w:rFonts w:ascii="Calibri" w:hAnsi="Calibri" w:cs="Calibri"/>
        </w:rPr>
        <w:t>эндоцервикального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кюретажа</w:t>
      </w:r>
      <w:proofErr w:type="spellEnd"/>
      <w:r>
        <w:rPr>
          <w:rFonts w:ascii="Calibri" w:hAnsi="Calibri" w:cs="Calibri"/>
        </w:rPr>
        <w:t xml:space="preserve">, и биопсий, выполненных на </w:t>
      </w:r>
      <w:proofErr w:type="spellStart"/>
      <w:proofErr w:type="gramStart"/>
      <w:r>
        <w:rPr>
          <w:rFonts w:ascii="Calibri" w:hAnsi="Calibri" w:cs="Calibri"/>
        </w:rPr>
        <w:t>Шиллер-положительных</w:t>
      </w:r>
      <w:proofErr w:type="spellEnd"/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Шиллер-отрицательных</w:t>
      </w:r>
      <w:proofErr w:type="spellEnd"/>
      <w:r>
        <w:rPr>
          <w:rFonts w:ascii="Calibri" w:hAnsi="Calibri" w:cs="Calibri"/>
        </w:rPr>
        <w:t xml:space="preserve"> квадрантах шейки матки.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Материал и методы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данном межотраслевом исследовании приняли участие 297 не беременных женщин с аномальной цитологией шейки матки, ранее не получавших лечение цервикальной дисплазии или рака. Все </w:t>
      </w:r>
      <w:r>
        <w:rPr>
          <w:rFonts w:ascii="Calibri" w:hAnsi="Calibri" w:cs="Calibri"/>
        </w:rPr>
        <w:lastRenderedPageBreak/>
        <w:t xml:space="preserve">женщины прошли гинекологическое обследование,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эндоцервикальный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</w:t>
      </w:r>
      <w:proofErr w:type="spellEnd"/>
      <w:r>
        <w:rPr>
          <w:rFonts w:ascii="Calibri" w:hAnsi="Calibri" w:cs="Calibri"/>
        </w:rPr>
        <w:t xml:space="preserve">; Всем им была сделана биопсия шейки матки.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считалась выполненной удовлетворительно, если имелся чёткий обзор зоны перехода плоского эпителия пищевода в цилиндрический эпителий, а биопсия была сделана на всех четырёх квадрантах шейки матки, вне зависимости от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Результаты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1A171C"/>
          <w:sz w:val="24"/>
          <w:szCs w:val="24"/>
        </w:rPr>
      </w:pPr>
      <w:r>
        <w:rPr>
          <w:rFonts w:ascii="Calibri" w:hAnsi="Calibri" w:cs="Calibri"/>
        </w:rPr>
        <w:t xml:space="preserve">В целом, у 130 женщин-участниц исследования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оказались удовлетворительными. У этих женщин была выявлена цервикальная неоплазия второй или более степени (</w:t>
      </w:r>
      <w:r w:rsidR="001D7237">
        <w:rPr>
          <w:rFonts w:ascii="Calibri" w:hAnsi="Calibri" w:cs="Calibri"/>
        </w:rPr>
        <w:t>ДИ</w:t>
      </w:r>
      <w:r>
        <w:rPr>
          <w:rFonts w:ascii="Calibri" w:hAnsi="Calibri" w:cs="Calibri"/>
        </w:rPr>
        <w:t xml:space="preserve">N2+). В 61% случаев проба Шиллера при биопсии дала положительную реакцию, в 39% случаев – отрицательную. У 87 из них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были положительные, однако цервикальная неоплазия второй и более степени получила гистологическое подтверждение по результатам положительной пробы Шиллера при биопсии в 91% случаев (Н= 79) и в 9% случаев - по результатам отрицательной пробы Шиллера (Н=8). У остальных 43 женщин с цервикальной неоплазией второй и более степени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оказались отрицательными, следовательно, их диагнозы подтвердились в ходе </w:t>
      </w:r>
      <w:proofErr w:type="spellStart"/>
      <w:proofErr w:type="gramStart"/>
      <w:r>
        <w:rPr>
          <w:rFonts w:ascii="Calibri" w:hAnsi="Calibri" w:cs="Calibri"/>
        </w:rPr>
        <w:t>Шиллер-отрицательной</w:t>
      </w:r>
      <w:proofErr w:type="spellEnd"/>
      <w:proofErr w:type="gramEnd"/>
      <w:r>
        <w:rPr>
          <w:rFonts w:ascii="Calibri" w:hAnsi="Calibri" w:cs="Calibri"/>
        </w:rPr>
        <w:t xml:space="preserve"> биопсии. В 61% случаев для выявления </w:t>
      </w:r>
      <w:r w:rsidR="001D7237">
        <w:rPr>
          <w:rFonts w:ascii="Calibri" w:hAnsi="Calibri" w:cs="Calibri"/>
        </w:rPr>
        <w:t>ДИ</w:t>
      </w:r>
      <w:r>
        <w:rPr>
          <w:rFonts w:ascii="Calibri" w:hAnsi="Calibri" w:cs="Calibri"/>
        </w:rPr>
        <w:t xml:space="preserve">N2+ было достаточно одной лишь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1A171C"/>
        </w:rPr>
        <w:t>(95% ДИ 52-69).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1A171C"/>
        </w:rPr>
      </w:pPr>
      <w:r>
        <w:rPr>
          <w:rFonts w:ascii="Calibri" w:hAnsi="Calibri" w:cs="Calibri"/>
          <w:i/>
          <w:iCs/>
          <w:color w:val="1A171C"/>
        </w:rPr>
        <w:t>Выводы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исследовании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не являлась самостоятельным диагностическим инструментом. Биопсия при отрицательной пробе Шиллера показала существенную дополнительную диагностическую ценность, позволив выявить значительную долю случаев подлежащей лечению дисплазии шейки матки исходя из положительных и отрицательных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. Материал, полученный при выскабливании цервикального канала, в данном исследовании не имел существенной диагностической ценности.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Сокращения:</w:t>
      </w:r>
    </w:p>
    <w:p w:rsidR="00272BEE" w:rsidRDefault="00953A71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A171C"/>
        </w:rPr>
      </w:pPr>
      <w:r>
        <w:rPr>
          <w:rFonts w:ascii="Calibri" w:hAnsi="Calibri" w:cs="Calibri"/>
        </w:rPr>
        <w:t>ACIS</w:t>
      </w:r>
      <w:r w:rsidR="00272BEE">
        <w:rPr>
          <w:rFonts w:ascii="Calibri" w:hAnsi="Calibri" w:cs="Calibri"/>
        </w:rPr>
        <w:t xml:space="preserve"> (</w:t>
      </w:r>
      <w:proofErr w:type="spellStart"/>
      <w:r w:rsidR="00272BEE">
        <w:rPr>
          <w:rFonts w:ascii="Calibri" w:hAnsi="Calibri" w:cs="Calibri"/>
        </w:rPr>
        <w:t>внутриэпителиальный</w:t>
      </w:r>
      <w:proofErr w:type="spellEnd"/>
      <w:r w:rsidR="00272BEE">
        <w:rPr>
          <w:rFonts w:ascii="Calibri" w:hAnsi="Calibri" w:cs="Calibri"/>
        </w:rPr>
        <w:t xml:space="preserve"> рак); </w:t>
      </w:r>
      <w:proofErr w:type="spellStart"/>
      <w:r w:rsidR="00272BEE">
        <w:rPr>
          <w:rFonts w:ascii="Calibri" w:hAnsi="Calibri" w:cs="Calibri"/>
        </w:rPr>
        <w:t>атипичные</w:t>
      </w:r>
      <w:proofErr w:type="spellEnd"/>
      <w:r w:rsidR="00272BEE">
        <w:rPr>
          <w:rFonts w:ascii="Calibri" w:hAnsi="Calibri" w:cs="Calibri"/>
        </w:rPr>
        <w:t xml:space="preserve"> </w:t>
      </w:r>
      <w:proofErr w:type="spellStart"/>
      <w:r w:rsidR="00272BEE">
        <w:rPr>
          <w:rFonts w:ascii="Calibri" w:hAnsi="Calibri" w:cs="Calibri"/>
        </w:rPr>
        <w:t>гландулярные</w:t>
      </w:r>
      <w:proofErr w:type="spellEnd"/>
      <w:r w:rsidR="00272BEE">
        <w:rPr>
          <w:rFonts w:ascii="Calibri" w:hAnsi="Calibri" w:cs="Calibri"/>
        </w:rPr>
        <w:t xml:space="preserve"> клетки неопределённого значения (АГКНЗ); </w:t>
      </w:r>
      <w:proofErr w:type="spellStart"/>
      <w:r w:rsidR="00272BEE">
        <w:rPr>
          <w:rFonts w:ascii="Calibri" w:hAnsi="Calibri" w:cs="Calibri"/>
        </w:rPr>
        <w:t>атипичные</w:t>
      </w:r>
      <w:proofErr w:type="spellEnd"/>
      <w:r w:rsidR="00272BEE">
        <w:rPr>
          <w:rFonts w:ascii="Calibri" w:hAnsi="Calibri" w:cs="Calibri"/>
        </w:rPr>
        <w:t xml:space="preserve"> плоские высокодифференцированные клетки; </w:t>
      </w:r>
      <w:proofErr w:type="spellStart"/>
      <w:r w:rsidR="00272BEE">
        <w:rPr>
          <w:rFonts w:ascii="Calibri" w:hAnsi="Calibri" w:cs="Calibri"/>
          <w:color w:val="1A171C"/>
        </w:rPr>
        <w:t>Атипичные</w:t>
      </w:r>
      <w:proofErr w:type="spellEnd"/>
      <w:r w:rsidR="00272BEE">
        <w:rPr>
          <w:rFonts w:ascii="Calibri" w:hAnsi="Calibri" w:cs="Calibri"/>
          <w:color w:val="1A171C"/>
        </w:rPr>
        <w:t xml:space="preserve"> плоские клетки неопределённого значения (АПКНЗ); </w:t>
      </w:r>
      <w:r w:rsidR="001D7237">
        <w:rPr>
          <w:rFonts w:ascii="Calibri" w:hAnsi="Calibri" w:cs="Calibri"/>
          <w:color w:val="1A171C"/>
        </w:rPr>
        <w:t>ДИ</w:t>
      </w:r>
      <w:r w:rsidR="00272BEE">
        <w:rPr>
          <w:rFonts w:ascii="Calibri" w:hAnsi="Calibri" w:cs="Calibri"/>
          <w:color w:val="1A171C"/>
        </w:rPr>
        <w:t xml:space="preserve">N2+ (Цервикальная </w:t>
      </w:r>
      <w:proofErr w:type="spellStart"/>
      <w:r w:rsidR="00272BEE">
        <w:rPr>
          <w:rFonts w:ascii="Calibri" w:hAnsi="Calibri" w:cs="Calibri"/>
          <w:color w:val="1A171C"/>
        </w:rPr>
        <w:t>интраэпиделиальная</w:t>
      </w:r>
      <w:proofErr w:type="spellEnd"/>
      <w:r w:rsidR="00272BEE">
        <w:rPr>
          <w:rFonts w:ascii="Calibri" w:hAnsi="Calibri" w:cs="Calibri"/>
          <w:color w:val="1A171C"/>
        </w:rPr>
        <w:t xml:space="preserve"> неоплазия второй или более степени); ЦИН (цервикальная </w:t>
      </w:r>
      <w:proofErr w:type="spellStart"/>
      <w:r w:rsidR="00272BEE">
        <w:rPr>
          <w:rFonts w:ascii="Calibri" w:hAnsi="Calibri" w:cs="Calibri"/>
          <w:color w:val="1A171C"/>
        </w:rPr>
        <w:t>интраэпиделиальная</w:t>
      </w:r>
      <w:proofErr w:type="spellEnd"/>
      <w:r w:rsidR="00272BEE">
        <w:rPr>
          <w:rFonts w:ascii="Calibri" w:hAnsi="Calibri" w:cs="Calibri"/>
          <w:color w:val="1A171C"/>
        </w:rPr>
        <w:t xml:space="preserve"> неоплазия); ПВЧ (</w:t>
      </w:r>
      <w:proofErr w:type="spellStart"/>
      <w:r w:rsidR="00272BEE">
        <w:rPr>
          <w:rFonts w:ascii="Calibri" w:hAnsi="Calibri" w:cs="Calibri"/>
          <w:color w:val="1A171C"/>
        </w:rPr>
        <w:t>папиломавирус</w:t>
      </w:r>
      <w:proofErr w:type="spellEnd"/>
      <w:r w:rsidR="00272BEE">
        <w:rPr>
          <w:rFonts w:ascii="Calibri" w:hAnsi="Calibri" w:cs="Calibri"/>
          <w:color w:val="1A171C"/>
        </w:rPr>
        <w:t xml:space="preserve"> человека); ВСПКВП (высокосортное плоскоклеточное </w:t>
      </w:r>
      <w:proofErr w:type="spellStart"/>
      <w:r w:rsidR="00272BEE">
        <w:rPr>
          <w:rFonts w:ascii="Calibri" w:hAnsi="Calibri" w:cs="Calibri"/>
          <w:color w:val="1A171C"/>
        </w:rPr>
        <w:t>внутриэпителиальное</w:t>
      </w:r>
      <w:proofErr w:type="spellEnd"/>
      <w:r w:rsidR="00272BEE">
        <w:rPr>
          <w:rFonts w:ascii="Calibri" w:hAnsi="Calibri" w:cs="Calibri"/>
          <w:color w:val="1A171C"/>
        </w:rPr>
        <w:t xml:space="preserve"> поражение); НСПКВП (низкосортное плоскоклеточное </w:t>
      </w:r>
      <w:proofErr w:type="spellStart"/>
      <w:r w:rsidR="00272BEE">
        <w:rPr>
          <w:rFonts w:ascii="Calibri" w:hAnsi="Calibri" w:cs="Calibri"/>
          <w:color w:val="1A171C"/>
        </w:rPr>
        <w:t>внутриэпителиальное</w:t>
      </w:r>
      <w:proofErr w:type="spellEnd"/>
      <w:r w:rsidR="00272BEE">
        <w:rPr>
          <w:rFonts w:ascii="Calibri" w:hAnsi="Calibri" w:cs="Calibri"/>
          <w:color w:val="1A171C"/>
        </w:rPr>
        <w:t xml:space="preserve"> поражение).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71C"/>
          <w:sz w:val="24"/>
          <w:szCs w:val="24"/>
        </w:rPr>
      </w:pP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color w:val="1A171C"/>
          <w:sz w:val="24"/>
          <w:szCs w:val="24"/>
        </w:rPr>
      </w:pPr>
      <w:r>
        <w:rPr>
          <w:rFonts w:ascii="Calibri" w:hAnsi="Calibri" w:cs="Calibri"/>
          <w:color w:val="1A171C"/>
          <w:sz w:val="24"/>
          <w:szCs w:val="24"/>
        </w:rPr>
        <w:t>Введение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представляет собой визуальное исследование шейки матки под увеличительными приборами. Это одна из первых диагностических процедур, проводимых женщинам, у которых выявлена аномальная цервикальная цитология.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признана удовлетворительной, если зона перехода плоского эпителия пищевода в цилиндрический эпителий и зона трансформации чётко просматриваются. Критерии положительной оценки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хорошо известны. Это наличие аномалий кровеносных сосудов (прерывистость, мозаичность, наличие атипических </w:t>
      </w:r>
      <w:r>
        <w:rPr>
          <w:rFonts w:ascii="Calibri" w:hAnsi="Calibri" w:cs="Calibri"/>
        </w:rPr>
        <w:lastRenderedPageBreak/>
        <w:t xml:space="preserve">сосудов), эпителий, побелевший под воздействием уксусной кислоты, изменение цвета под воздействием йода, размеров и границ. Было разработано несколько систем оценки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(1-3).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проводится с целью задать направление для дальнейших гистологических обследований, по результатам которых и назначается лечение.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нескольких исследованиях было выявлено, что биопсии, проведённой по результатам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, недостаточно, ибо в 26-57% случаев после её проведения не удалось обнаружить цервикальную </w:t>
      </w:r>
      <w:proofErr w:type="spellStart"/>
      <w:r>
        <w:rPr>
          <w:rFonts w:ascii="Calibri" w:hAnsi="Calibri" w:cs="Calibri"/>
        </w:rPr>
        <w:t>интраэпиделиальную</w:t>
      </w:r>
      <w:proofErr w:type="spellEnd"/>
      <w:r>
        <w:rPr>
          <w:rFonts w:ascii="Calibri" w:hAnsi="Calibri" w:cs="Calibri"/>
        </w:rPr>
        <w:t xml:space="preserve"> неоплазию второй и более степени (</w:t>
      </w:r>
      <w:r w:rsidR="001D7237">
        <w:rPr>
          <w:rFonts w:ascii="Calibri" w:hAnsi="Calibri" w:cs="Calibri"/>
        </w:rPr>
        <w:t>ДИ</w:t>
      </w:r>
      <w:r>
        <w:rPr>
          <w:rFonts w:ascii="Calibri" w:hAnsi="Calibri" w:cs="Calibri"/>
        </w:rPr>
        <w:t xml:space="preserve">N2+) (4-7). Авторы некоторых работ отмечают, что рост числа биопсий, выполненных на областях с положительной пробой Шиллера, ведёт к увеличению процента выявленных случаев дисплазии высокой степени (4, 5, 8, 9). Авторы других исследований доказывают, что проведение дополнительных биопсий на областях с негативными пробами теста Шиллера повышает процент распознанных случаев </w:t>
      </w:r>
      <w:r w:rsidR="001D7237">
        <w:rPr>
          <w:rFonts w:ascii="Calibri" w:hAnsi="Calibri" w:cs="Calibri"/>
        </w:rPr>
        <w:t>ДИ</w:t>
      </w:r>
      <w:r>
        <w:rPr>
          <w:rFonts w:ascii="Calibri" w:hAnsi="Calibri" w:cs="Calibri"/>
        </w:rPr>
        <w:t xml:space="preserve">N2+ (7, 10, 11). Хотя способы проведения и критерии оценки успешности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уже стандартизированы, методы сбора образцов ткани по результатам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на данный момент менее унифицированы: остаются вопросы относительно количества необходимых образцов и участков, на которых следует делать забор.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Норвегии Национальным департаментом здравоохранения рекомендовано каждую женщину с высокой степенью цитологических аномалий </w:t>
      </w:r>
      <w:proofErr w:type="gramStart"/>
      <w:r>
        <w:rPr>
          <w:rFonts w:ascii="Calibri" w:hAnsi="Calibri" w:cs="Calibri"/>
        </w:rPr>
        <w:t>направлять</w:t>
      </w:r>
      <w:proofErr w:type="gramEnd"/>
      <w:r>
        <w:rPr>
          <w:rFonts w:ascii="Calibri" w:hAnsi="Calibri" w:cs="Calibri"/>
        </w:rPr>
        <w:t xml:space="preserve"> на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 и биопсию. </w:t>
      </w:r>
      <w:proofErr w:type="gramStart"/>
      <w:r>
        <w:rPr>
          <w:rFonts w:ascii="Calibri" w:hAnsi="Calibri" w:cs="Calibri"/>
        </w:rPr>
        <w:t xml:space="preserve">Такое же правило применимо к женщинам, у которых обнаружен </w:t>
      </w:r>
      <w:proofErr w:type="spellStart"/>
      <w:r>
        <w:rPr>
          <w:rFonts w:ascii="Calibri" w:hAnsi="Calibri" w:cs="Calibri"/>
        </w:rPr>
        <w:t>папиломавирус</w:t>
      </w:r>
      <w:proofErr w:type="spellEnd"/>
      <w:r>
        <w:rPr>
          <w:rFonts w:ascii="Calibri" w:hAnsi="Calibri" w:cs="Calibri"/>
        </w:rPr>
        <w:t xml:space="preserve"> человека при том, что повторяющиеся цитологические исследования выявляют низкую степень цитологических отклонений.</w:t>
      </w:r>
      <w:proofErr w:type="gramEnd"/>
      <w:r>
        <w:rPr>
          <w:rFonts w:ascii="Calibri" w:hAnsi="Calibri" w:cs="Calibri"/>
        </w:rPr>
        <w:t xml:space="preserve"> А также к женщинам с высоким риском заражения </w:t>
      </w:r>
      <w:proofErr w:type="spellStart"/>
      <w:r>
        <w:rPr>
          <w:rFonts w:ascii="Calibri" w:hAnsi="Calibri" w:cs="Calibri"/>
        </w:rPr>
        <w:t>папиломавирусом</w:t>
      </w:r>
      <w:proofErr w:type="spellEnd"/>
      <w:r>
        <w:rPr>
          <w:rFonts w:ascii="Calibri" w:hAnsi="Calibri" w:cs="Calibri"/>
        </w:rPr>
        <w:t xml:space="preserve"> человека и нормальной цитологией (12).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Целью нашего исследования стала оценка ценности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для указанных категорий женщин в стандартной диагностической практике, а также оценка диагностического влияния материала, полученного при </w:t>
      </w:r>
      <w:proofErr w:type="spellStart"/>
      <w:r>
        <w:rPr>
          <w:rFonts w:ascii="Calibri" w:hAnsi="Calibri" w:cs="Calibri"/>
        </w:rPr>
        <w:t>эндоцервикальном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кюретаже</w:t>
      </w:r>
      <w:proofErr w:type="spellEnd"/>
      <w:r>
        <w:rPr>
          <w:rFonts w:ascii="Calibri" w:hAnsi="Calibri" w:cs="Calibri"/>
        </w:rPr>
        <w:t>, и процедур биопсии, проведённых в квадрантах шейки матки с положительной и отрицательной реакцией на тест Шиллера.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Материал и методы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1A171C"/>
          <w:sz w:val="24"/>
          <w:szCs w:val="24"/>
        </w:rPr>
      </w:pPr>
      <w:r>
        <w:rPr>
          <w:rFonts w:ascii="Calibri" w:hAnsi="Calibri" w:cs="Calibri"/>
        </w:rPr>
        <w:t xml:space="preserve">С ноября 2010 по июнь 2012 гг. мы привлекали к участию в исследовании женщин, получивших направление на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 и биопсию в отделение акушерства и гинекологии госпиталя св. </w:t>
      </w:r>
      <w:proofErr w:type="spellStart"/>
      <w:r>
        <w:rPr>
          <w:rFonts w:ascii="Calibri" w:hAnsi="Calibri" w:cs="Calibri"/>
        </w:rPr>
        <w:t>Олава</w:t>
      </w:r>
      <w:proofErr w:type="spellEnd"/>
      <w:r>
        <w:rPr>
          <w:rFonts w:ascii="Calibri" w:hAnsi="Calibri" w:cs="Calibri"/>
        </w:rPr>
        <w:t xml:space="preserve">, госпиталь </w:t>
      </w:r>
      <w:proofErr w:type="spellStart"/>
      <w:r>
        <w:rPr>
          <w:rFonts w:ascii="Calibri" w:hAnsi="Calibri" w:cs="Calibri"/>
        </w:rPr>
        <w:t>Тронхеймского</w:t>
      </w:r>
      <w:proofErr w:type="spellEnd"/>
      <w:r>
        <w:rPr>
          <w:rFonts w:ascii="Calibri" w:hAnsi="Calibri" w:cs="Calibri"/>
        </w:rPr>
        <w:t xml:space="preserve"> университета, (Норвегия), согласно рекомендациям норвежского Департамента здравоохранения (12). Беременные женщины, а также женщины, проходившие лечение дисплазии шейки матки или рака, к участию в исследовании не допускались. Ото всех участниц было получено письменное согласие на обработку данных. Исследование было одобрено региональным комитетом по этике медицинских исследований, Западный регион, Норвегия </w:t>
      </w:r>
      <w:r>
        <w:rPr>
          <w:rFonts w:ascii="Calibri" w:hAnsi="Calibri" w:cs="Calibri"/>
          <w:color w:val="1A171C"/>
        </w:rPr>
        <w:t>(2010/420).</w:t>
      </w:r>
    </w:p>
    <w:p w:rsidR="00272BEE" w:rsidRDefault="00272BEE" w:rsidP="00272B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Анамнез был собран посредством интервью во время прохождения осмотра. Информацию о курении и общем количестве сексуальных партнёров испытуемые вносили в анкету самостоятельно. Все </w:t>
      </w:r>
      <w:r w:rsidR="00DF1A87">
        <w:rPr>
          <w:rFonts w:ascii="Calibri" w:hAnsi="Calibri" w:cs="Calibri"/>
        </w:rPr>
        <w:t>женщины-участницы исследования</w:t>
      </w:r>
      <w:r>
        <w:rPr>
          <w:rFonts w:ascii="Calibri" w:hAnsi="Calibri" w:cs="Calibri"/>
        </w:rPr>
        <w:t xml:space="preserve"> прошли стандартный гинекологический осмотр,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э</w:t>
      </w:r>
      <w:r w:rsidR="00DF1A87">
        <w:rPr>
          <w:rFonts w:ascii="Calibri" w:hAnsi="Calibri" w:cs="Calibri"/>
        </w:rPr>
        <w:t>ндоцервикальный</w:t>
      </w:r>
      <w:proofErr w:type="spellEnd"/>
      <w:r w:rsidR="00DF1A87">
        <w:rPr>
          <w:rFonts w:ascii="Calibri" w:hAnsi="Calibri" w:cs="Calibri"/>
        </w:rPr>
        <w:t xml:space="preserve"> </w:t>
      </w:r>
      <w:proofErr w:type="spellStart"/>
      <w:r w:rsidR="00DF1A87">
        <w:rPr>
          <w:rFonts w:ascii="Calibri" w:hAnsi="Calibri" w:cs="Calibri"/>
        </w:rPr>
        <w:t>кюретаж</w:t>
      </w:r>
      <w:proofErr w:type="spellEnd"/>
      <w:r w:rsidR="00DF1A87">
        <w:rPr>
          <w:rFonts w:ascii="Calibri" w:hAnsi="Calibri" w:cs="Calibri"/>
        </w:rPr>
        <w:t>, а также всем</w:t>
      </w:r>
      <w:r>
        <w:rPr>
          <w:rFonts w:ascii="Calibri" w:hAnsi="Calibri" w:cs="Calibri"/>
        </w:rPr>
        <w:t xml:space="preserve"> была сделана биопсия. Все процедуры проводил один и тот же опытный врач-гинеколог, который был осведомлён о содержании направления на цитологическое обследование. </w:t>
      </w:r>
    </w:p>
    <w:p w:rsidR="00272BEE" w:rsidRDefault="00272BEE" w:rsidP="008160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проведении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осматривалась зона трансформации плоского эпителия пищевода в цилиндрический эпителий и зона тран</w:t>
      </w:r>
      <w:r w:rsidR="008160D8">
        <w:rPr>
          <w:rFonts w:ascii="Calibri" w:hAnsi="Calibri" w:cs="Calibri"/>
        </w:rPr>
        <w:t>сформации, и о</w:t>
      </w:r>
      <w:r>
        <w:rPr>
          <w:rFonts w:ascii="Calibri" w:hAnsi="Calibri" w:cs="Calibri"/>
        </w:rPr>
        <w:t xml:space="preserve">ценивалось состояние каждого квадранта шейки матки. Затем, после обработки шейки матки трёхпроцентной уксусной кислотой, производилась повторная оценка.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записывались согласно критериям </w:t>
      </w:r>
      <w:proofErr w:type="spellStart"/>
      <w:r>
        <w:rPr>
          <w:rFonts w:ascii="Calibri" w:hAnsi="Calibri" w:cs="Calibri"/>
        </w:rPr>
        <w:t>кольпоскопического</w:t>
      </w:r>
      <w:proofErr w:type="spellEnd"/>
      <w:r>
        <w:rPr>
          <w:rFonts w:ascii="Calibri" w:hAnsi="Calibri" w:cs="Calibri"/>
        </w:rPr>
        <w:t xml:space="preserve"> индекса Рейда (граница, цвет, сосуды), за исключением не используемого в нашем исследовании окрашивания йодом (1).</w:t>
      </w:r>
      <w:r w:rsidR="008160D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считалась удовлетворительной, если вся зона перехода плоского эпителия пищевода в цилиндрический эпителий отчётливо просматривалась. Пробы для биопсии брались у каждой женщины со всех четырёх квадрантов шейки матки, независимо от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. После выполнения биопсии проводилось выскабливание цервикального канала.</w:t>
      </w:r>
    </w:p>
    <w:p w:rsidR="00272BEE" w:rsidRPr="00073F7A" w:rsidRDefault="00272BEE" w:rsidP="008160D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1A171C"/>
          <w:sz w:val="24"/>
          <w:szCs w:val="24"/>
        </w:rPr>
      </w:pPr>
      <w:r>
        <w:rPr>
          <w:rFonts w:ascii="Calibri" w:hAnsi="Calibri" w:cs="Calibri"/>
        </w:rPr>
        <w:t xml:space="preserve">Были изучены материалы, взятые при проведении биопсии шейки матки и </w:t>
      </w:r>
      <w:proofErr w:type="spellStart"/>
      <w:r>
        <w:rPr>
          <w:rFonts w:ascii="Calibri" w:hAnsi="Calibri" w:cs="Calibri"/>
        </w:rPr>
        <w:t>эндоцервикального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кюретажа</w:t>
      </w:r>
      <w:proofErr w:type="spellEnd"/>
      <w:r>
        <w:rPr>
          <w:rFonts w:ascii="Calibri" w:hAnsi="Calibri" w:cs="Calibri"/>
        </w:rPr>
        <w:t xml:space="preserve">; Результаты гистологических исследований были распределены согласно классификации 2003 г. Всемирной организации здравоохранения (13). Результаты оценивались двумя независимыми специалистами по лабораторной диагностике (CV или MV), а окончательные результаты гистологических исследований </w:t>
      </w:r>
      <w:r w:rsidR="00073F7A">
        <w:rPr>
          <w:rFonts w:ascii="Calibri" w:hAnsi="Calibri" w:cs="Calibri"/>
        </w:rPr>
        <w:t>проб</w:t>
      </w:r>
      <w:r>
        <w:rPr>
          <w:rFonts w:ascii="Calibri" w:hAnsi="Calibri" w:cs="Calibri"/>
        </w:rPr>
        <w:t xml:space="preserve"> каждой женщины</w:t>
      </w:r>
      <w:r w:rsidR="00073F7A">
        <w:rPr>
          <w:rFonts w:ascii="Calibri" w:hAnsi="Calibri" w:cs="Calibri"/>
        </w:rPr>
        <w:t>, участвовавшей в исследовании,</w:t>
      </w:r>
      <w:r>
        <w:rPr>
          <w:rFonts w:ascii="Calibri" w:hAnsi="Calibri" w:cs="Calibri"/>
        </w:rPr>
        <w:t xml:space="preserve"> были отнесены к случаям наиболее тяжёлой патологии, выявленной во всех образцах.</w:t>
      </w:r>
    </w:p>
    <w:p w:rsidR="00272BEE" w:rsidRPr="00073F7A" w:rsidRDefault="00272BEE" w:rsidP="00272BEE">
      <w:pPr>
        <w:widowControl w:val="0"/>
        <w:autoSpaceDE w:val="0"/>
        <w:autoSpaceDN w:val="0"/>
        <w:adjustRightInd w:val="0"/>
        <w:rPr>
          <w:rFonts w:cstheme="minorHAnsi"/>
          <w:i/>
          <w:color w:val="1A171C"/>
          <w:sz w:val="24"/>
          <w:szCs w:val="24"/>
        </w:rPr>
      </w:pPr>
      <w:r w:rsidRPr="00073F7A">
        <w:rPr>
          <w:rFonts w:cstheme="minorHAnsi"/>
          <w:i/>
          <w:color w:val="1A171C"/>
          <w:sz w:val="24"/>
          <w:szCs w:val="24"/>
        </w:rPr>
        <w:t>Статистический анализ</w:t>
      </w:r>
    </w:p>
    <w:p w:rsidR="00272BEE" w:rsidRPr="00073F7A" w:rsidRDefault="00272BEE" w:rsidP="00391217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  <w:sz w:val="24"/>
          <w:szCs w:val="24"/>
        </w:rPr>
      </w:pPr>
      <w:r w:rsidRPr="00073F7A">
        <w:rPr>
          <w:rFonts w:cstheme="minorHAnsi"/>
        </w:rPr>
        <w:t xml:space="preserve">Анализ статистических данных проводился при помощи программного обеспечения </w:t>
      </w:r>
      <w:r w:rsidRPr="00073F7A">
        <w:rPr>
          <w:rFonts w:cstheme="minorHAnsi"/>
          <w:color w:val="1A171C"/>
          <w:sz w:val="24"/>
          <w:szCs w:val="24"/>
        </w:rPr>
        <w:t>STATA 12.0 (</w:t>
      </w:r>
      <w:proofErr w:type="spellStart"/>
      <w:r w:rsidR="00391217">
        <w:rPr>
          <w:rFonts w:cstheme="minorHAnsi"/>
          <w:color w:val="1A171C"/>
          <w:sz w:val="24"/>
          <w:szCs w:val="24"/>
          <w:lang w:val="en-US"/>
        </w:rPr>
        <w:t>Stata</w:t>
      </w:r>
      <w:proofErr w:type="spellEnd"/>
      <w:r w:rsidR="00391217">
        <w:rPr>
          <w:rFonts w:cstheme="minorHAnsi"/>
          <w:color w:val="1A171C"/>
          <w:sz w:val="24"/>
          <w:szCs w:val="24"/>
        </w:rPr>
        <w:t xml:space="preserve"> </w:t>
      </w:r>
      <w:r w:rsidR="00391217">
        <w:rPr>
          <w:rFonts w:cstheme="minorHAnsi"/>
          <w:color w:val="1A171C"/>
          <w:sz w:val="24"/>
          <w:szCs w:val="24"/>
          <w:lang w:val="en-US"/>
        </w:rPr>
        <w:t>Corp</w:t>
      </w:r>
      <w:r w:rsidR="00391217" w:rsidRPr="00391217">
        <w:rPr>
          <w:rFonts w:cstheme="minorHAnsi"/>
          <w:color w:val="1A171C"/>
          <w:sz w:val="24"/>
          <w:szCs w:val="24"/>
        </w:rPr>
        <w:t>.</w:t>
      </w:r>
      <w:r w:rsidRPr="00073F7A">
        <w:rPr>
          <w:rFonts w:cstheme="minorHAnsi"/>
          <w:color w:val="1A171C"/>
          <w:sz w:val="24"/>
          <w:szCs w:val="24"/>
        </w:rPr>
        <w:t xml:space="preserve">, </w:t>
      </w:r>
      <w:proofErr w:type="spellStart"/>
      <w:r w:rsidRPr="00073F7A">
        <w:rPr>
          <w:rFonts w:cstheme="minorHAnsi"/>
          <w:color w:val="1A171C"/>
          <w:sz w:val="24"/>
          <w:szCs w:val="24"/>
        </w:rPr>
        <w:t>College</w:t>
      </w:r>
      <w:proofErr w:type="spellEnd"/>
      <w:r w:rsidRPr="00073F7A">
        <w:rPr>
          <w:rFonts w:cstheme="minorHAnsi"/>
          <w:color w:val="1A171C"/>
          <w:sz w:val="24"/>
          <w:szCs w:val="24"/>
        </w:rPr>
        <w:t xml:space="preserve"> </w:t>
      </w:r>
      <w:proofErr w:type="spellStart"/>
      <w:r w:rsidRPr="00073F7A">
        <w:rPr>
          <w:rFonts w:cstheme="minorHAnsi"/>
          <w:color w:val="1A171C"/>
          <w:sz w:val="24"/>
          <w:szCs w:val="24"/>
        </w:rPr>
        <w:t>Station</w:t>
      </w:r>
      <w:proofErr w:type="spellEnd"/>
      <w:r w:rsidRPr="00073F7A">
        <w:rPr>
          <w:rFonts w:cstheme="minorHAnsi"/>
          <w:color w:val="1A171C"/>
          <w:sz w:val="24"/>
          <w:szCs w:val="24"/>
        </w:rPr>
        <w:t xml:space="preserve">, Техас, США). </w:t>
      </w:r>
      <w:r w:rsidR="00391217" w:rsidRPr="00391217">
        <w:rPr>
          <w:rFonts w:cstheme="minorHAnsi"/>
          <w:color w:val="1A171C"/>
          <w:sz w:val="24"/>
          <w:szCs w:val="24"/>
        </w:rPr>
        <w:t>Доверит</w:t>
      </w:r>
      <w:r w:rsidR="00391217">
        <w:rPr>
          <w:rFonts w:cstheme="minorHAnsi"/>
          <w:color w:val="1A171C"/>
          <w:sz w:val="24"/>
          <w:szCs w:val="24"/>
        </w:rPr>
        <w:t>ельные интервалы</w:t>
      </w:r>
      <w:r w:rsidRPr="00073F7A">
        <w:rPr>
          <w:rFonts w:cstheme="minorHAnsi"/>
          <w:color w:val="1A171C"/>
          <w:sz w:val="24"/>
          <w:szCs w:val="24"/>
        </w:rPr>
        <w:t xml:space="preserve"> для процентных соотношений оценивались при помощи точной функции биномиальных распределений (биномиальных переменных) в STATA. </w:t>
      </w:r>
      <w:proofErr w:type="spellStart"/>
      <w:r w:rsidRPr="00073F7A">
        <w:rPr>
          <w:rFonts w:cstheme="minorHAnsi"/>
          <w:color w:val="1A171C"/>
          <w:sz w:val="24"/>
          <w:szCs w:val="24"/>
        </w:rPr>
        <w:t>Сензитивность</w:t>
      </w:r>
      <w:proofErr w:type="spellEnd"/>
      <w:r w:rsidRPr="00073F7A">
        <w:rPr>
          <w:rFonts w:cstheme="minorHAnsi"/>
          <w:color w:val="1A171C"/>
          <w:sz w:val="24"/>
          <w:szCs w:val="24"/>
        </w:rPr>
        <w:t xml:space="preserve">, специфичность, положительная прогностическая ценность и отрицательная прогностическая ценность </w:t>
      </w:r>
      <w:proofErr w:type="spellStart"/>
      <w:r w:rsidRPr="00073F7A">
        <w:rPr>
          <w:rFonts w:cstheme="minorHAnsi"/>
          <w:color w:val="1A171C"/>
          <w:sz w:val="24"/>
          <w:szCs w:val="24"/>
        </w:rPr>
        <w:t>кольпоскопии</w:t>
      </w:r>
      <w:proofErr w:type="spellEnd"/>
      <w:r w:rsidRPr="00073F7A">
        <w:rPr>
          <w:rFonts w:cstheme="minorHAnsi"/>
          <w:color w:val="1A171C"/>
          <w:sz w:val="24"/>
          <w:szCs w:val="24"/>
        </w:rPr>
        <w:t xml:space="preserve"> по сравнению с цитолог</w:t>
      </w:r>
      <w:r w:rsidR="00391217">
        <w:rPr>
          <w:rFonts w:cstheme="minorHAnsi"/>
          <w:color w:val="1A171C"/>
          <w:sz w:val="24"/>
          <w:szCs w:val="24"/>
        </w:rPr>
        <w:t>ией вычислялись с 95-процентными ДИ</w:t>
      </w:r>
      <w:r w:rsidRPr="00073F7A">
        <w:rPr>
          <w:rFonts w:cstheme="minorHAnsi"/>
          <w:color w:val="1A171C"/>
          <w:sz w:val="24"/>
          <w:szCs w:val="24"/>
        </w:rPr>
        <w:t>.</w:t>
      </w:r>
    </w:p>
    <w:p w:rsidR="00272BEE" w:rsidRPr="00391217" w:rsidRDefault="00272BEE" w:rsidP="00272BEE">
      <w:pPr>
        <w:widowControl w:val="0"/>
        <w:autoSpaceDE w:val="0"/>
        <w:autoSpaceDN w:val="0"/>
        <w:adjustRightInd w:val="0"/>
        <w:rPr>
          <w:rFonts w:cstheme="minorHAnsi"/>
          <w:b/>
          <w:color w:val="1A171C"/>
          <w:sz w:val="24"/>
          <w:szCs w:val="24"/>
        </w:rPr>
      </w:pPr>
      <w:r w:rsidRPr="00391217">
        <w:rPr>
          <w:rFonts w:cstheme="minorHAnsi"/>
          <w:b/>
          <w:color w:val="1A171C"/>
          <w:sz w:val="24"/>
          <w:szCs w:val="24"/>
        </w:rPr>
        <w:t>Результаты</w:t>
      </w:r>
    </w:p>
    <w:p w:rsidR="00272BEE" w:rsidRDefault="00272BEE" w:rsidP="003E39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общей сложности 305 женщин </w:t>
      </w:r>
      <w:r w:rsidR="003E3921">
        <w:rPr>
          <w:rFonts w:ascii="Calibri" w:hAnsi="Calibri" w:cs="Calibri"/>
        </w:rPr>
        <w:t>подходили под критерии</w:t>
      </w:r>
      <w:r>
        <w:rPr>
          <w:rFonts w:ascii="Calibri" w:hAnsi="Calibri" w:cs="Calibri"/>
        </w:rPr>
        <w:t xml:space="preserve"> исследования и согласились принять в нём участие. Мы исключили из исследования 8 женщин, при осмотре которых зона перехода плоского эпителия пищевода в цилиндрический эпителий не была обнаружена при биопсии и в материале, полученном при проведении </w:t>
      </w:r>
      <w:proofErr w:type="spellStart"/>
      <w:r>
        <w:rPr>
          <w:rFonts w:ascii="Calibri" w:hAnsi="Calibri" w:cs="Calibri"/>
        </w:rPr>
        <w:t>эндоцервикального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кюретажа</w:t>
      </w:r>
      <w:proofErr w:type="spellEnd"/>
      <w:r>
        <w:rPr>
          <w:rFonts w:ascii="Calibri" w:hAnsi="Calibri" w:cs="Calibri"/>
        </w:rPr>
        <w:t xml:space="preserve">. Таким образом, в исследовании приняли участие 297 женщин. 98% из них </w:t>
      </w:r>
      <w:r w:rsidR="003E392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белые женщины. Средний возраст первого полового контакта составил 17 лет (от 13 до 32 лет) и не различался у разных возрастных групп. Напротив, обладание более 10 сексуальными партнёрами в течение всего периода половой жизни в старшей возрастной группе наблюдалось значительно реже. 36% женщин в возрасте от 19 до 49 лет сообщили о том, что у них было более 10 половых партнёров. Для женщин старше 50 лет этот показатель составил только 5% (</w:t>
      </w:r>
      <w:proofErr w:type="spellStart"/>
      <w:proofErr w:type="gramStart"/>
      <w:r>
        <w:rPr>
          <w:rFonts w:ascii="Calibri" w:hAnsi="Calibri" w:cs="Calibri"/>
        </w:rPr>
        <w:t>табл</w:t>
      </w:r>
      <w:proofErr w:type="spellEnd"/>
      <w:proofErr w:type="gramEnd"/>
      <w:r>
        <w:rPr>
          <w:rFonts w:ascii="Calibri" w:hAnsi="Calibri" w:cs="Calibri"/>
        </w:rPr>
        <w:t xml:space="preserve"> 1).</w:t>
      </w:r>
    </w:p>
    <w:p w:rsidR="00272BEE" w:rsidRPr="00074633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074633">
        <w:rPr>
          <w:rFonts w:ascii="Calibri" w:hAnsi="Calibri" w:cs="Calibri"/>
          <w:b/>
        </w:rPr>
        <w:t>Важное примечание</w:t>
      </w:r>
    </w:p>
    <w:p w:rsidR="00272BEE" w:rsidRDefault="00272BEE" w:rsidP="000746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нашему исследованию, биопсия, выполненная на тех квадрантах шейки матки, где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дала отрицательный результат, привела к увеличению числа выявленных случаев цервикальной </w:t>
      </w:r>
      <w:proofErr w:type="spellStart"/>
      <w:r>
        <w:rPr>
          <w:rFonts w:ascii="Calibri" w:hAnsi="Calibri" w:cs="Calibri"/>
        </w:rPr>
        <w:t>интраэпиделиальной</w:t>
      </w:r>
      <w:proofErr w:type="spellEnd"/>
      <w:r>
        <w:rPr>
          <w:rFonts w:ascii="Calibri" w:hAnsi="Calibri" w:cs="Calibri"/>
        </w:rPr>
        <w:t xml:space="preserve"> неоплазии у женщин, имеющих и не имеющих </w:t>
      </w:r>
      <w:proofErr w:type="spellStart"/>
      <w:r w:rsidR="00074633">
        <w:rPr>
          <w:rFonts w:ascii="Calibri" w:hAnsi="Calibri" w:cs="Calibri"/>
        </w:rPr>
        <w:lastRenderedPageBreak/>
        <w:t>кольпо</w:t>
      </w:r>
      <w:r>
        <w:rPr>
          <w:rFonts w:ascii="Calibri" w:hAnsi="Calibri" w:cs="Calibri"/>
        </w:rPr>
        <w:t>скопические</w:t>
      </w:r>
      <w:proofErr w:type="spellEnd"/>
      <w:r>
        <w:rPr>
          <w:rFonts w:ascii="Calibri" w:hAnsi="Calibri" w:cs="Calibri"/>
        </w:rPr>
        <w:t xml:space="preserve"> поражения.</w:t>
      </w:r>
    </w:p>
    <w:p w:rsidR="00272BEE" w:rsidRPr="00AC13CA" w:rsidRDefault="00272BEE" w:rsidP="001D7237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r w:rsidRPr="001D7237">
        <w:rPr>
          <w:rFonts w:cstheme="minorHAnsi"/>
        </w:rPr>
        <w:t xml:space="preserve">Результаты анализа цитологии шейки матки были распределены по классификации </w:t>
      </w:r>
      <w:proofErr w:type="spellStart"/>
      <w:r w:rsidR="001D7237" w:rsidRPr="001D7237">
        <w:rPr>
          <w:rFonts w:cstheme="minorHAnsi"/>
        </w:rPr>
        <w:t>Бетезда</w:t>
      </w:r>
      <w:proofErr w:type="spellEnd"/>
      <w:r w:rsidR="001D7237" w:rsidRPr="001D7237">
        <w:rPr>
          <w:rFonts w:cstheme="minorHAnsi"/>
        </w:rPr>
        <w:t xml:space="preserve">   от 2001 </w:t>
      </w:r>
      <w:r w:rsidRPr="001D7237">
        <w:rPr>
          <w:rFonts w:cstheme="minorHAnsi"/>
        </w:rPr>
        <w:t xml:space="preserve">г. (14). Средний временной интервал между направлением на цитологию и проведением </w:t>
      </w:r>
      <w:proofErr w:type="spellStart"/>
      <w:r w:rsidRPr="001D7237">
        <w:rPr>
          <w:rFonts w:cstheme="minorHAnsi"/>
        </w:rPr>
        <w:t>кольпоскопии</w:t>
      </w:r>
      <w:proofErr w:type="spellEnd"/>
      <w:r w:rsidRPr="001D7237">
        <w:rPr>
          <w:rFonts w:cstheme="minorHAnsi"/>
        </w:rPr>
        <w:t xml:space="preserve"> составил 99 дней (от 13 до 485 дней), а самым частым диагнозом, указанным в направлении на цитологию, стала </w:t>
      </w:r>
      <w:r w:rsidRPr="001D7237">
        <w:rPr>
          <w:rFonts w:cstheme="minorHAnsi"/>
          <w:color w:val="1A171C"/>
        </w:rPr>
        <w:t xml:space="preserve">Высокосортная плоскоклеточная </w:t>
      </w:r>
      <w:proofErr w:type="spellStart"/>
      <w:r w:rsidRPr="001D7237">
        <w:rPr>
          <w:rFonts w:cstheme="minorHAnsi"/>
          <w:color w:val="1A171C"/>
        </w:rPr>
        <w:t>атипичность</w:t>
      </w:r>
      <w:proofErr w:type="spellEnd"/>
      <w:r w:rsidRPr="001D7237">
        <w:rPr>
          <w:rFonts w:cstheme="minorHAnsi"/>
          <w:color w:val="1A171C"/>
        </w:rPr>
        <w:t xml:space="preserve"> (43%). За ним следуют высокосортные плоскоклеточные </w:t>
      </w:r>
      <w:proofErr w:type="spellStart"/>
      <w:r w:rsidRPr="001D7237">
        <w:rPr>
          <w:rFonts w:cstheme="minorHAnsi"/>
          <w:color w:val="1A171C"/>
        </w:rPr>
        <w:t>внутриэпителиальные</w:t>
      </w:r>
      <w:proofErr w:type="spellEnd"/>
      <w:r w:rsidRPr="001D7237">
        <w:rPr>
          <w:rFonts w:cstheme="minorHAnsi"/>
          <w:color w:val="1A171C"/>
        </w:rPr>
        <w:t xml:space="preserve"> поражения (33%) и </w:t>
      </w:r>
      <w:proofErr w:type="spellStart"/>
      <w:r w:rsidRPr="001D7237">
        <w:rPr>
          <w:rFonts w:cstheme="minorHAnsi"/>
          <w:color w:val="1A171C"/>
        </w:rPr>
        <w:t>атипичные</w:t>
      </w:r>
      <w:proofErr w:type="spellEnd"/>
      <w:r w:rsidRPr="001D7237">
        <w:rPr>
          <w:rFonts w:cstheme="minorHAnsi"/>
          <w:color w:val="1A171C"/>
        </w:rPr>
        <w:t xml:space="preserve"> </w:t>
      </w:r>
      <w:proofErr w:type="spellStart"/>
      <w:r w:rsidRPr="001D7237">
        <w:rPr>
          <w:rFonts w:cstheme="minorHAnsi"/>
          <w:color w:val="1A171C"/>
        </w:rPr>
        <w:t>гладулярные</w:t>
      </w:r>
      <w:proofErr w:type="spellEnd"/>
      <w:r w:rsidRPr="001D7237">
        <w:rPr>
          <w:rFonts w:cstheme="minorHAnsi"/>
          <w:color w:val="1A171C"/>
        </w:rPr>
        <w:t xml:space="preserve"> клетки </w:t>
      </w:r>
      <w:r w:rsidR="001D7237" w:rsidRPr="001D7237">
        <w:rPr>
          <w:rFonts w:cstheme="minorHAnsi"/>
          <w:color w:val="1A171C"/>
        </w:rPr>
        <w:t>неизвестного значения (12%) - (Таблица</w:t>
      </w:r>
      <w:r w:rsidRPr="001D7237">
        <w:rPr>
          <w:rFonts w:cstheme="minorHAnsi"/>
          <w:color w:val="1A171C"/>
        </w:rPr>
        <w:t xml:space="preserve"> 2).</w:t>
      </w:r>
      <w:r w:rsidR="001D7237" w:rsidRPr="001D7237">
        <w:rPr>
          <w:rFonts w:cstheme="minorHAnsi"/>
          <w:color w:val="1A171C"/>
        </w:rPr>
        <w:t xml:space="preserve"> </w:t>
      </w:r>
      <w:r w:rsidRPr="001D7237">
        <w:rPr>
          <w:rFonts w:cstheme="minorHAnsi"/>
        </w:rPr>
        <w:t xml:space="preserve">Среди женщин в возрасте младше 25 лет в </w:t>
      </w:r>
      <w:r w:rsidR="001D7237">
        <w:rPr>
          <w:rFonts w:cstheme="minorHAnsi"/>
          <w:color w:val="1A171C"/>
        </w:rPr>
        <w:t xml:space="preserve">91% случаев (95% ДИ </w:t>
      </w:r>
      <w:r w:rsidRPr="001D7237">
        <w:rPr>
          <w:rFonts w:cstheme="minorHAnsi"/>
          <w:color w:val="1A171C"/>
        </w:rPr>
        <w:t xml:space="preserve">76-98%) было выявлено ASC-H, ВСПКВП, а также </w:t>
      </w:r>
      <w:proofErr w:type="spellStart"/>
      <w:r w:rsidRPr="001D7237">
        <w:rPr>
          <w:rFonts w:cstheme="minorHAnsi"/>
          <w:color w:val="1A171C"/>
        </w:rPr>
        <w:t>внутриэпиделиальный</w:t>
      </w:r>
      <w:proofErr w:type="spellEnd"/>
      <w:r w:rsidRPr="001D7237">
        <w:rPr>
          <w:rFonts w:cstheme="minorHAnsi"/>
          <w:color w:val="1A171C"/>
        </w:rPr>
        <w:t xml:space="preserve"> рак, в сравнении с 41% (95% </w:t>
      </w:r>
      <w:r w:rsidR="001D7237">
        <w:rPr>
          <w:rFonts w:cstheme="minorHAnsi"/>
          <w:color w:val="1A171C"/>
        </w:rPr>
        <w:t>ДИ</w:t>
      </w:r>
      <w:r w:rsidRPr="001D7237">
        <w:rPr>
          <w:rFonts w:cstheme="minorHAnsi"/>
          <w:color w:val="1A171C"/>
        </w:rPr>
        <w:t xml:space="preserve"> 21-64%) случаев среди женщин в возрасте старше 50 лет. Более того, у 41% (9/22) женщин в возрасте старше 50 лет в цитологическом направлении были указаны </w:t>
      </w:r>
      <w:proofErr w:type="spellStart"/>
      <w:r w:rsidRPr="001D7237">
        <w:rPr>
          <w:rFonts w:cstheme="minorHAnsi"/>
        </w:rPr>
        <w:t>атипичные</w:t>
      </w:r>
      <w:proofErr w:type="spellEnd"/>
      <w:r w:rsidRPr="001D7237">
        <w:rPr>
          <w:rFonts w:cstheme="minorHAnsi"/>
        </w:rPr>
        <w:t xml:space="preserve"> </w:t>
      </w:r>
      <w:proofErr w:type="spellStart"/>
      <w:r w:rsidRPr="001D7237">
        <w:rPr>
          <w:rFonts w:cstheme="minorHAnsi"/>
        </w:rPr>
        <w:t>гландулярные</w:t>
      </w:r>
      <w:proofErr w:type="spellEnd"/>
      <w:r w:rsidRPr="001D7237">
        <w:rPr>
          <w:rFonts w:cstheme="minorHAnsi"/>
        </w:rPr>
        <w:t xml:space="preserve"> клетки неопределённого значения, тогда как у женщин в возрасте младше 50 лет подобные случаи встречались лишь в </w:t>
      </w:r>
      <w:r w:rsidRPr="001D7237">
        <w:rPr>
          <w:rFonts w:cstheme="minorHAnsi"/>
          <w:color w:val="1A171C"/>
        </w:rPr>
        <w:t xml:space="preserve">10% (28/275) - (данные не указаны). Была выявлена </w:t>
      </w:r>
      <w:proofErr w:type="spellStart"/>
      <w:r w:rsidRPr="001D7237">
        <w:rPr>
          <w:rFonts w:cstheme="minorHAnsi"/>
          <w:color w:val="1A171C"/>
        </w:rPr>
        <w:t>прямопропорциональная</w:t>
      </w:r>
      <w:proofErr w:type="spellEnd"/>
      <w:r w:rsidRPr="001D7237">
        <w:rPr>
          <w:rFonts w:cstheme="minorHAnsi"/>
          <w:color w:val="1A171C"/>
        </w:rPr>
        <w:t xml:space="preserve"> зависимость между случаями ЦИН</w:t>
      </w:r>
      <w:proofErr w:type="gramStart"/>
      <w:r w:rsidRPr="001D7237">
        <w:rPr>
          <w:rFonts w:cstheme="minorHAnsi"/>
          <w:color w:val="1A171C"/>
        </w:rPr>
        <w:t>2</w:t>
      </w:r>
      <w:proofErr w:type="gramEnd"/>
      <w:r w:rsidRPr="001D7237">
        <w:rPr>
          <w:rFonts w:cstheme="minorHAnsi"/>
          <w:color w:val="1A171C"/>
        </w:rPr>
        <w:t xml:space="preserve"> + и серьёзностью цитологических нарушений. ЦИН</w:t>
      </w:r>
      <w:proofErr w:type="gramStart"/>
      <w:r w:rsidRPr="001D7237">
        <w:rPr>
          <w:rFonts w:cstheme="minorHAnsi"/>
          <w:color w:val="1A171C"/>
        </w:rPr>
        <w:t>2</w:t>
      </w:r>
      <w:proofErr w:type="gramEnd"/>
      <w:r w:rsidRPr="001D7237">
        <w:rPr>
          <w:rFonts w:cstheme="minorHAnsi"/>
          <w:color w:val="1A171C"/>
        </w:rPr>
        <w:t xml:space="preserve"> + была диагностирована у 15% женщин с </w:t>
      </w:r>
      <w:proofErr w:type="spellStart"/>
      <w:r w:rsidRPr="001D7237">
        <w:rPr>
          <w:rFonts w:cstheme="minorHAnsi"/>
          <w:color w:val="1A171C"/>
        </w:rPr>
        <w:t>атипичными</w:t>
      </w:r>
      <w:proofErr w:type="spellEnd"/>
      <w:r w:rsidRPr="001D7237">
        <w:rPr>
          <w:rFonts w:cstheme="minorHAnsi"/>
          <w:color w:val="1A171C"/>
        </w:rPr>
        <w:t xml:space="preserve"> плоскими клетками неопределённого значения (АПКНЗ), у 19% женщин с </w:t>
      </w:r>
      <w:proofErr w:type="spellStart"/>
      <w:r w:rsidRPr="001D7237">
        <w:rPr>
          <w:rFonts w:cstheme="minorHAnsi"/>
          <w:color w:val="1A171C"/>
        </w:rPr>
        <w:t>атипичными</w:t>
      </w:r>
      <w:proofErr w:type="spellEnd"/>
      <w:r w:rsidRPr="001D7237">
        <w:rPr>
          <w:rFonts w:cstheme="minorHAnsi"/>
          <w:color w:val="1A171C"/>
        </w:rPr>
        <w:t xml:space="preserve"> </w:t>
      </w:r>
      <w:proofErr w:type="spellStart"/>
      <w:r w:rsidRPr="001D7237">
        <w:rPr>
          <w:rFonts w:cstheme="minorHAnsi"/>
          <w:color w:val="1A171C"/>
        </w:rPr>
        <w:t>гландулярными</w:t>
      </w:r>
      <w:proofErr w:type="spellEnd"/>
      <w:r w:rsidRPr="001D7237">
        <w:rPr>
          <w:rFonts w:cstheme="minorHAnsi"/>
          <w:color w:val="1A171C"/>
        </w:rPr>
        <w:t xml:space="preserve"> клетками неизвестного значения (АГКНЗ), у 36% женщин с низкосортным плоскоклеточным </w:t>
      </w:r>
      <w:proofErr w:type="spellStart"/>
      <w:r w:rsidRPr="001D7237">
        <w:rPr>
          <w:rFonts w:cstheme="minorHAnsi"/>
          <w:color w:val="1A171C"/>
        </w:rPr>
        <w:t>внутриэпителиальным</w:t>
      </w:r>
      <w:proofErr w:type="spellEnd"/>
      <w:r w:rsidRPr="001D7237">
        <w:rPr>
          <w:rFonts w:cstheme="minorHAnsi"/>
          <w:color w:val="1A171C"/>
        </w:rPr>
        <w:t xml:space="preserve"> поражением, у 59% женщин с ASC-H и у 84% женщин с высокосортным </w:t>
      </w:r>
      <w:r w:rsidRPr="00AC13CA">
        <w:rPr>
          <w:rFonts w:cstheme="minorHAnsi"/>
          <w:color w:val="1A171C"/>
        </w:rPr>
        <w:t xml:space="preserve">плоскоклеточным </w:t>
      </w:r>
      <w:proofErr w:type="spellStart"/>
      <w:r w:rsidRPr="00AC13CA">
        <w:rPr>
          <w:rFonts w:cstheme="minorHAnsi"/>
          <w:color w:val="1A171C"/>
        </w:rPr>
        <w:t>внутриэпителиальным</w:t>
      </w:r>
      <w:proofErr w:type="spellEnd"/>
      <w:r w:rsidRPr="00AC13CA">
        <w:rPr>
          <w:rFonts w:cstheme="minorHAnsi"/>
          <w:color w:val="1A171C"/>
        </w:rPr>
        <w:t xml:space="preserve"> поражением (табл. 2).</w:t>
      </w:r>
    </w:p>
    <w:p w:rsidR="00272BEE" w:rsidRDefault="00272BEE" w:rsidP="00AC13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C13CA">
        <w:rPr>
          <w:rFonts w:cstheme="minorHAnsi"/>
        </w:rPr>
        <w:t xml:space="preserve">Зона перехода плоского эпителия пищевода в цилиндрический эпителий полностью просматривалась у 70% (207) женщин, участвовавших в исследовании; Частично просматривалась у 20% женщин, и не просматривалась вовсе у 10% женщин (табл. 3). </w:t>
      </w:r>
      <w:proofErr w:type="gramStart"/>
      <w:r w:rsidRPr="00AC13CA">
        <w:rPr>
          <w:rFonts w:cstheme="minorHAnsi"/>
        </w:rPr>
        <w:t xml:space="preserve">Как и ожидалось, степень видимости зоны перехода плоского эпителия пищевода в цилиндрический эпителий зависела от возраста: у 201 из 275 всех женщин младше 50 лет </w:t>
      </w:r>
      <w:r w:rsidRPr="00AC13CA">
        <w:rPr>
          <w:rFonts w:cstheme="minorHAnsi"/>
          <w:color w:val="1A171C"/>
          <w:sz w:val="24"/>
          <w:szCs w:val="24"/>
        </w:rPr>
        <w:t xml:space="preserve">(73%, 95% </w:t>
      </w:r>
      <w:r w:rsidR="001D7237" w:rsidRPr="00AC13CA">
        <w:rPr>
          <w:rFonts w:cstheme="minorHAnsi"/>
          <w:color w:val="1A171C"/>
          <w:sz w:val="24"/>
          <w:szCs w:val="24"/>
        </w:rPr>
        <w:t>ДИ</w:t>
      </w:r>
      <w:r w:rsidRPr="00AC13CA">
        <w:rPr>
          <w:rFonts w:cstheme="minorHAnsi"/>
          <w:color w:val="1A171C"/>
          <w:sz w:val="24"/>
          <w:szCs w:val="24"/>
        </w:rPr>
        <w:t xml:space="preserve"> 67-78%) </w:t>
      </w:r>
      <w:r w:rsidRPr="00AC13CA">
        <w:rPr>
          <w:rFonts w:cstheme="minorHAnsi"/>
        </w:rPr>
        <w:t xml:space="preserve">зона перехода плоского эпителия пищевода в цилиндрический эпителий полностью просматривалась, по сравнению всего с 6 из 22 женщин старше 50 лет </w:t>
      </w:r>
      <w:r w:rsidRPr="00AC13CA">
        <w:rPr>
          <w:rFonts w:cstheme="minorHAnsi"/>
          <w:color w:val="1A171C"/>
        </w:rPr>
        <w:t xml:space="preserve">(27%, 95% </w:t>
      </w:r>
      <w:r w:rsidR="001D7237" w:rsidRPr="00AC13CA">
        <w:rPr>
          <w:rFonts w:cstheme="minorHAnsi"/>
          <w:color w:val="1A171C"/>
        </w:rPr>
        <w:t xml:space="preserve">ДИ </w:t>
      </w:r>
      <w:r w:rsidRPr="00AC13CA">
        <w:rPr>
          <w:rFonts w:cstheme="minorHAnsi"/>
          <w:color w:val="1A171C"/>
        </w:rPr>
        <w:t>11-50).</w:t>
      </w:r>
      <w:proofErr w:type="gramEnd"/>
      <w:r w:rsidR="00AC13CA" w:rsidRPr="00AC13CA">
        <w:rPr>
          <w:rFonts w:cstheme="minorHAnsi"/>
          <w:color w:val="1A171C"/>
        </w:rPr>
        <w:t xml:space="preserve"> </w:t>
      </w:r>
      <w:proofErr w:type="spellStart"/>
      <w:r w:rsidRPr="00AC13CA">
        <w:rPr>
          <w:rFonts w:cstheme="minorHAnsi"/>
        </w:rPr>
        <w:t>Кольпоскопия</w:t>
      </w:r>
      <w:proofErr w:type="spellEnd"/>
      <w:r w:rsidRPr="00AC13CA">
        <w:rPr>
          <w:rFonts w:cstheme="minorHAnsi"/>
        </w:rPr>
        <w:t xml:space="preserve"> дала положительные результаты, то есть выявила дисплазию шейки матки у 51% </w:t>
      </w:r>
      <w:r w:rsidRPr="00AC13CA">
        <w:rPr>
          <w:rFonts w:cstheme="minorHAnsi"/>
          <w:color w:val="1A171C"/>
        </w:rPr>
        <w:t>(150/297) женщин из всей выборки.</w:t>
      </w:r>
      <w:r w:rsidR="00AC13CA">
        <w:rPr>
          <w:rFonts w:cstheme="minorHAnsi"/>
          <w:color w:val="1A171C"/>
        </w:rPr>
        <w:t xml:space="preserve"> </w:t>
      </w:r>
      <w:r>
        <w:rPr>
          <w:rFonts w:ascii="Calibri" w:hAnsi="Calibri" w:cs="Calibri"/>
        </w:rPr>
        <w:t xml:space="preserve">Поражения </w:t>
      </w:r>
      <w:proofErr w:type="spellStart"/>
      <w:r>
        <w:rPr>
          <w:rFonts w:ascii="Calibri" w:hAnsi="Calibri" w:cs="Calibri"/>
        </w:rPr>
        <w:t>ацетобелого</w:t>
      </w:r>
      <w:proofErr w:type="spellEnd"/>
      <w:r>
        <w:rPr>
          <w:rFonts w:ascii="Calibri" w:hAnsi="Calibri" w:cs="Calibri"/>
        </w:rPr>
        <w:t xml:space="preserve"> эпителия были наиболее частым явлением, присутствующим у 85% женщин. За ними следовала </w:t>
      </w:r>
      <w:proofErr w:type="spellStart"/>
      <w:r w:rsidR="00AC13CA">
        <w:rPr>
          <w:rFonts w:ascii="Calibri" w:hAnsi="Calibri" w:cs="Calibri"/>
        </w:rPr>
        <w:t>пунктация</w:t>
      </w:r>
      <w:proofErr w:type="spellEnd"/>
      <w:r w:rsidR="00AC13CA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68%, и мозаичность </w:t>
      </w:r>
      <w:r w:rsidR="00AC13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57%.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Табл. 1: Выбранные характеристики 297 участниц исследования.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16"/>
        <w:gridCol w:w="1454"/>
        <w:gridCol w:w="523"/>
      </w:tblGrid>
      <w:tr w:rsidR="00363649" w:rsidTr="00AC13CA">
        <w:trPr>
          <w:trHeight w:val="837"/>
        </w:trPr>
        <w:tc>
          <w:tcPr>
            <w:tcW w:w="2616" w:type="dxa"/>
            <w:tcBorders>
              <w:top w:val="single" w:sz="4" w:space="0" w:color="auto"/>
            </w:tcBorders>
          </w:tcPr>
          <w:p w:rsidR="00363649" w:rsidRDefault="00AC13CA" w:rsidP="00A60388">
            <w:r>
              <w:rPr>
                <w:color w:val="1A171C"/>
              </w:rPr>
              <w:t>Характеристики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363649" w:rsidRDefault="00C6180E" w:rsidP="00A60388">
            <w:r>
              <w:rPr>
                <w:color w:val="1A171C"/>
              </w:rPr>
              <w:t>Общее число</w:t>
            </w:r>
          </w:p>
          <w:p w:rsidR="00363649" w:rsidRPr="00AC13CA" w:rsidRDefault="00AC13CA" w:rsidP="00A60388">
            <w:pPr>
              <w:rPr>
                <w:lang w:val="en-US"/>
              </w:rPr>
            </w:pPr>
            <w:r>
              <w:rPr>
                <w:color w:val="1A171C"/>
                <w:lang w:val="en-US"/>
              </w:rPr>
              <w:t>n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AC13CA" w:rsidRDefault="00AC13CA" w:rsidP="00A60388">
            <w:pPr>
              <w:rPr>
                <w:color w:val="1A171C"/>
                <w:lang w:val="en-US"/>
              </w:rPr>
            </w:pPr>
          </w:p>
          <w:p w:rsidR="00363649" w:rsidRDefault="00363649" w:rsidP="00A60388">
            <w:r>
              <w:rPr>
                <w:color w:val="1A171C"/>
              </w:rPr>
              <w:t>%</w:t>
            </w:r>
          </w:p>
        </w:tc>
      </w:tr>
      <w:tr w:rsidR="00363649" w:rsidTr="00A60388">
        <w:trPr>
          <w:trHeight w:val="293"/>
        </w:trPr>
        <w:tc>
          <w:tcPr>
            <w:tcW w:w="2616" w:type="dxa"/>
            <w:tcBorders>
              <w:top w:val="single" w:sz="4" w:space="0" w:color="auto"/>
            </w:tcBorders>
          </w:tcPr>
          <w:p w:rsidR="00363649" w:rsidRPr="00C6180E" w:rsidRDefault="00C6180E" w:rsidP="00AC13CA">
            <w:pPr>
              <w:spacing w:after="0"/>
            </w:pPr>
            <w:r>
              <w:rPr>
                <w:color w:val="1A171C"/>
              </w:rPr>
              <w:t>Средний возраст и границы: в годах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363649" w:rsidRDefault="00363649" w:rsidP="00AC13CA">
            <w:pPr>
              <w:spacing w:after="0"/>
            </w:pPr>
            <w:r>
              <w:rPr>
                <w:color w:val="1A171C"/>
              </w:rPr>
              <w:t>35 (19-75)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63649" w:rsidRDefault="00363649" w:rsidP="00AC13CA">
            <w:pPr>
              <w:spacing w:after="0"/>
              <w:rPr>
                <w:sz w:val="10"/>
                <w:szCs w:val="10"/>
              </w:rPr>
            </w:pPr>
          </w:p>
        </w:tc>
      </w:tr>
      <w:tr w:rsidR="00363649" w:rsidTr="00A60388">
        <w:trPr>
          <w:trHeight w:val="197"/>
        </w:trPr>
        <w:tc>
          <w:tcPr>
            <w:tcW w:w="2616" w:type="dxa"/>
          </w:tcPr>
          <w:p w:rsidR="00363649" w:rsidRDefault="00C6180E" w:rsidP="00AC13CA">
            <w:pPr>
              <w:spacing w:after="0"/>
            </w:pPr>
            <w:r>
              <w:rPr>
                <w:color w:val="1A171C"/>
              </w:rPr>
              <w:t>Курящая</w:t>
            </w:r>
          </w:p>
        </w:tc>
        <w:tc>
          <w:tcPr>
            <w:tcW w:w="1454" w:type="dxa"/>
          </w:tcPr>
          <w:p w:rsidR="00363649" w:rsidRDefault="00363649" w:rsidP="00AC13CA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523" w:type="dxa"/>
          </w:tcPr>
          <w:p w:rsidR="00363649" w:rsidRDefault="00363649" w:rsidP="00AC13CA">
            <w:pPr>
              <w:spacing w:after="0"/>
              <w:rPr>
                <w:sz w:val="10"/>
                <w:szCs w:val="10"/>
              </w:rPr>
            </w:pPr>
          </w:p>
        </w:tc>
      </w:tr>
      <w:tr w:rsidR="00363649" w:rsidTr="00A60388">
        <w:trPr>
          <w:trHeight w:val="211"/>
        </w:trPr>
        <w:tc>
          <w:tcPr>
            <w:tcW w:w="2616" w:type="dxa"/>
          </w:tcPr>
          <w:p w:rsidR="00363649" w:rsidRDefault="00C6180E" w:rsidP="00AC13CA">
            <w:pPr>
              <w:spacing w:after="0"/>
            </w:pPr>
            <w:r>
              <w:rPr>
                <w:color w:val="1A171C"/>
              </w:rPr>
              <w:t>Да</w:t>
            </w:r>
          </w:p>
        </w:tc>
        <w:tc>
          <w:tcPr>
            <w:tcW w:w="1454" w:type="dxa"/>
          </w:tcPr>
          <w:p w:rsidR="00363649" w:rsidRDefault="00363649" w:rsidP="00AC13CA">
            <w:pPr>
              <w:spacing w:after="0"/>
            </w:pPr>
            <w:r>
              <w:rPr>
                <w:color w:val="1A171C"/>
              </w:rPr>
              <w:t>94</w:t>
            </w:r>
          </w:p>
        </w:tc>
        <w:tc>
          <w:tcPr>
            <w:tcW w:w="523" w:type="dxa"/>
          </w:tcPr>
          <w:p w:rsidR="00363649" w:rsidRDefault="00C6180E" w:rsidP="00AC13CA">
            <w:pPr>
              <w:spacing w:after="0"/>
            </w:pPr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2</w:t>
            </w:r>
          </w:p>
        </w:tc>
      </w:tr>
      <w:tr w:rsidR="00363649" w:rsidTr="00A60388">
        <w:trPr>
          <w:trHeight w:val="206"/>
        </w:trPr>
        <w:tc>
          <w:tcPr>
            <w:tcW w:w="2616" w:type="dxa"/>
          </w:tcPr>
          <w:p w:rsidR="00363649" w:rsidRDefault="00C6180E" w:rsidP="00AC13CA">
            <w:pPr>
              <w:spacing w:after="0"/>
            </w:pPr>
            <w:r>
              <w:rPr>
                <w:color w:val="1A171C"/>
              </w:rPr>
              <w:t>Нет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/>
            </w:pPr>
            <w:r>
              <w:rPr>
                <w:color w:val="1A171C"/>
              </w:rPr>
              <w:t>20</w:t>
            </w:r>
            <w:r w:rsidR="00363649">
              <w:rPr>
                <w:color w:val="1A171C"/>
              </w:rPr>
              <w:t>3</w:t>
            </w:r>
          </w:p>
        </w:tc>
        <w:tc>
          <w:tcPr>
            <w:tcW w:w="523" w:type="dxa"/>
          </w:tcPr>
          <w:p w:rsidR="00363649" w:rsidRDefault="00363649" w:rsidP="00AC13CA">
            <w:pPr>
              <w:spacing w:after="0"/>
            </w:pPr>
            <w:r>
              <w:rPr>
                <w:color w:val="1A171C"/>
              </w:rPr>
              <w:t>б8</w:t>
            </w:r>
          </w:p>
        </w:tc>
      </w:tr>
      <w:tr w:rsidR="00363649" w:rsidTr="00A60388">
        <w:trPr>
          <w:trHeight w:val="226"/>
        </w:trPr>
        <w:tc>
          <w:tcPr>
            <w:tcW w:w="2616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Количество родов</w:t>
            </w:r>
          </w:p>
        </w:tc>
        <w:tc>
          <w:tcPr>
            <w:tcW w:w="1454" w:type="dxa"/>
          </w:tcPr>
          <w:p w:rsidR="00363649" w:rsidRDefault="00363649" w:rsidP="00AC13C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3" w:type="dxa"/>
          </w:tcPr>
          <w:p w:rsidR="00363649" w:rsidRDefault="00363649" w:rsidP="00AC13C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63649" w:rsidTr="00A60388">
        <w:trPr>
          <w:trHeight w:val="192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0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10</w:t>
            </w:r>
            <w:r w:rsidR="00363649">
              <w:rPr>
                <w:color w:val="1A171C"/>
              </w:rPr>
              <w:t>3</w:t>
            </w:r>
          </w:p>
        </w:tc>
        <w:tc>
          <w:tcPr>
            <w:tcW w:w="523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5</w:t>
            </w:r>
          </w:p>
        </w:tc>
      </w:tr>
      <w:tr w:rsidR="00363649" w:rsidTr="00A60388">
        <w:trPr>
          <w:trHeight w:val="211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1-2</w:t>
            </w:r>
          </w:p>
        </w:tc>
        <w:tc>
          <w:tcPr>
            <w:tcW w:w="1454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138</w:t>
            </w:r>
          </w:p>
        </w:tc>
        <w:tc>
          <w:tcPr>
            <w:tcW w:w="523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46</w:t>
            </w:r>
          </w:p>
        </w:tc>
      </w:tr>
      <w:tr w:rsidR="00363649" w:rsidTr="00A60388">
        <w:trPr>
          <w:trHeight w:val="206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3-6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56</w:t>
            </w:r>
          </w:p>
        </w:tc>
        <w:tc>
          <w:tcPr>
            <w:tcW w:w="523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19</w:t>
            </w:r>
          </w:p>
        </w:tc>
      </w:tr>
      <w:tr w:rsidR="00363649" w:rsidRPr="00C6180E" w:rsidTr="00A60388">
        <w:trPr>
          <w:trHeight w:val="221"/>
        </w:trPr>
        <w:tc>
          <w:tcPr>
            <w:tcW w:w="2616" w:type="dxa"/>
          </w:tcPr>
          <w:p w:rsidR="00363649" w:rsidRPr="00C6180E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lastRenderedPageBreak/>
              <w:t>Количество сексуальных партнёров на протяжении активного полового периода</w:t>
            </w:r>
          </w:p>
        </w:tc>
        <w:tc>
          <w:tcPr>
            <w:tcW w:w="1454" w:type="dxa"/>
          </w:tcPr>
          <w:p w:rsidR="00363649" w:rsidRPr="00C6180E" w:rsidRDefault="00363649" w:rsidP="00AC13C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3" w:type="dxa"/>
          </w:tcPr>
          <w:p w:rsidR="00363649" w:rsidRPr="00C6180E" w:rsidRDefault="00363649" w:rsidP="00AC13C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63649" w:rsidTr="00A60388">
        <w:trPr>
          <w:trHeight w:val="202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1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20</w:t>
            </w:r>
          </w:p>
        </w:tc>
        <w:tc>
          <w:tcPr>
            <w:tcW w:w="523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7</w:t>
            </w:r>
          </w:p>
        </w:tc>
      </w:tr>
      <w:tr w:rsidR="00363649" w:rsidTr="00A60388">
        <w:trPr>
          <w:trHeight w:val="206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2-4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9</w:t>
            </w:r>
          </w:p>
        </w:tc>
        <w:tc>
          <w:tcPr>
            <w:tcW w:w="523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24</w:t>
            </w:r>
          </w:p>
        </w:tc>
      </w:tr>
      <w:tr w:rsidR="00363649" w:rsidTr="00A60388">
        <w:trPr>
          <w:trHeight w:val="211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5-10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86</w:t>
            </w:r>
          </w:p>
        </w:tc>
        <w:tc>
          <w:tcPr>
            <w:tcW w:w="523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36</w:t>
            </w:r>
          </w:p>
        </w:tc>
      </w:tr>
      <w:tr w:rsidR="00363649" w:rsidTr="00C6180E">
        <w:trPr>
          <w:trHeight w:val="302"/>
        </w:trPr>
        <w:tc>
          <w:tcPr>
            <w:tcW w:w="2616" w:type="dxa"/>
          </w:tcPr>
          <w:p w:rsidR="00363649" w:rsidRDefault="00363649" w:rsidP="00AC13CA">
            <w:pPr>
              <w:spacing w:after="0" w:line="240" w:lineRule="auto"/>
            </w:pPr>
            <w:r>
              <w:rPr>
                <w:color w:val="1A171C"/>
              </w:rPr>
              <w:t>&gt;10</w:t>
            </w:r>
          </w:p>
        </w:tc>
        <w:tc>
          <w:tcPr>
            <w:tcW w:w="1454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100</w:t>
            </w:r>
          </w:p>
        </w:tc>
        <w:tc>
          <w:tcPr>
            <w:tcW w:w="523" w:type="dxa"/>
          </w:tcPr>
          <w:p w:rsidR="00363649" w:rsidRDefault="00C6180E" w:rsidP="00AC13CA">
            <w:pPr>
              <w:spacing w:after="0" w:line="240" w:lineRule="auto"/>
            </w:pPr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4</w:t>
            </w:r>
          </w:p>
        </w:tc>
      </w:tr>
      <w:tr w:rsidR="00C6180E" w:rsidTr="00AC13CA">
        <w:trPr>
          <w:trHeight w:val="227"/>
        </w:trPr>
        <w:tc>
          <w:tcPr>
            <w:tcW w:w="2616" w:type="dxa"/>
            <w:tcBorders>
              <w:bottom w:val="single" w:sz="4" w:space="0" w:color="auto"/>
            </w:tcBorders>
          </w:tcPr>
          <w:p w:rsidR="00C6180E" w:rsidRPr="00AC13CA" w:rsidRDefault="00C6180E" w:rsidP="00AC13CA">
            <w:pPr>
              <w:spacing w:after="0"/>
              <w:rPr>
                <w:color w:val="1A171C"/>
                <w:sz w:val="2"/>
                <w:szCs w:val="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6180E" w:rsidRPr="00AC13CA" w:rsidRDefault="00C6180E" w:rsidP="00A60388">
            <w:pPr>
              <w:rPr>
                <w:color w:val="1A171C"/>
                <w:sz w:val="2"/>
                <w:szCs w:val="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C6180E" w:rsidRPr="00AC13CA" w:rsidRDefault="00C6180E" w:rsidP="00A60388">
            <w:pPr>
              <w:rPr>
                <w:color w:val="1A171C"/>
                <w:sz w:val="2"/>
                <w:szCs w:val="2"/>
              </w:rPr>
            </w:pPr>
          </w:p>
        </w:tc>
      </w:tr>
    </w:tbl>
    <w:p w:rsidR="008A6B29" w:rsidRPr="00533DB9" w:rsidRDefault="008A6B29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Табл. 2: Гистология согласно цитологическому направлению.</w:t>
      </w:r>
    </w:p>
    <w:p w:rsidR="00363649" w:rsidRDefault="00363649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Overlap w:val="never"/>
        <w:tblW w:w="0" w:type="auto"/>
        <w:tblInd w:w="1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984"/>
        <w:gridCol w:w="1075"/>
      </w:tblGrid>
      <w:tr w:rsidR="00363649" w:rsidTr="00733681">
        <w:trPr>
          <w:trHeight w:val="355"/>
        </w:trPr>
        <w:tc>
          <w:tcPr>
            <w:tcW w:w="854" w:type="dxa"/>
            <w:tcBorders>
              <w:top w:val="single" w:sz="4" w:space="0" w:color="auto"/>
            </w:tcBorders>
          </w:tcPr>
          <w:p w:rsidR="00363649" w:rsidRDefault="00C6180E" w:rsidP="00A60388">
            <w:r>
              <w:rPr>
                <w:color w:val="1A171C"/>
              </w:rPr>
              <w:t>Нормальная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63649" w:rsidRDefault="00C6180E" w:rsidP="00A60388">
            <w:r>
              <w:rPr>
                <w:color w:val="1A171C"/>
              </w:rPr>
              <w:t>ЦИН</w:t>
            </w:r>
            <w:proofErr w:type="gramStart"/>
            <w:r w:rsidR="00363649">
              <w:rPr>
                <w:color w:val="1A171C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363649" w:rsidRDefault="00C6180E" w:rsidP="00A60388">
            <w:r>
              <w:rPr>
                <w:color w:val="1A171C"/>
              </w:rPr>
              <w:t>ЦИН</w:t>
            </w:r>
            <w:proofErr w:type="gramStart"/>
            <w:r w:rsidR="00363649">
              <w:rPr>
                <w:color w:val="1A171C"/>
              </w:rPr>
              <w:t>2</w:t>
            </w:r>
            <w:proofErr w:type="gramEnd"/>
            <w:r w:rsidR="00363649">
              <w:rPr>
                <w:color w:val="1A171C"/>
              </w:rPr>
              <w:t>+</w:t>
            </w:r>
          </w:p>
        </w:tc>
      </w:tr>
      <w:tr w:rsidR="00363649" w:rsidTr="00733681">
        <w:trPr>
          <w:trHeight w:val="264"/>
        </w:trPr>
        <w:tc>
          <w:tcPr>
            <w:tcW w:w="854" w:type="dxa"/>
            <w:tcBorders>
              <w:top w:val="single" w:sz="4" w:space="0" w:color="auto"/>
            </w:tcBorders>
          </w:tcPr>
          <w:p w:rsidR="00363649" w:rsidRDefault="00733681" w:rsidP="00A60388">
            <w:proofErr w:type="spellStart"/>
            <w:r>
              <w:rPr>
                <w:color w:val="1A171C"/>
              </w:rPr>
              <w:t>n</w:t>
            </w:r>
            <w:proofErr w:type="spellEnd"/>
            <w:r>
              <w:rPr>
                <w:color w:val="1A171C"/>
              </w:rPr>
              <w:t xml:space="preserve">  </w:t>
            </w:r>
            <w:r>
              <w:rPr>
                <w:color w:val="1A171C"/>
                <w:lang w:val="en-US"/>
              </w:rPr>
              <w:t xml:space="preserve">      </w:t>
            </w:r>
            <w:r w:rsidR="00363649">
              <w:rPr>
                <w:color w:val="1A171C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63649" w:rsidRDefault="00733681" w:rsidP="00A60388">
            <w:r>
              <w:rPr>
                <w:color w:val="1A171C"/>
                <w:lang w:val="en-US"/>
              </w:rPr>
              <w:t xml:space="preserve">   </w:t>
            </w:r>
            <w:proofErr w:type="spellStart"/>
            <w:r>
              <w:rPr>
                <w:color w:val="1A171C"/>
              </w:rPr>
              <w:t>n</w:t>
            </w:r>
            <w:proofErr w:type="spellEnd"/>
            <w:r>
              <w:rPr>
                <w:color w:val="1A171C"/>
              </w:rPr>
              <w:t xml:space="preserve">  </w:t>
            </w:r>
            <w:r>
              <w:rPr>
                <w:color w:val="1A171C"/>
                <w:lang w:val="en-US"/>
              </w:rPr>
              <w:t xml:space="preserve">      </w:t>
            </w:r>
            <w:r>
              <w:rPr>
                <w:color w:val="1A171C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363649" w:rsidRDefault="00733681" w:rsidP="00A60388">
            <w:r>
              <w:rPr>
                <w:color w:val="1A171C"/>
                <w:lang w:val="en-US"/>
              </w:rPr>
              <w:t xml:space="preserve">     </w:t>
            </w:r>
            <w:proofErr w:type="spellStart"/>
            <w:r>
              <w:rPr>
                <w:color w:val="1A171C"/>
              </w:rPr>
              <w:t>n</w:t>
            </w:r>
            <w:proofErr w:type="spellEnd"/>
            <w:r>
              <w:rPr>
                <w:color w:val="1A171C"/>
              </w:rPr>
              <w:t xml:space="preserve">  </w:t>
            </w:r>
            <w:r>
              <w:rPr>
                <w:color w:val="1A171C"/>
                <w:lang w:val="en-US"/>
              </w:rPr>
              <w:t xml:space="preserve">      </w:t>
            </w:r>
            <w:r>
              <w:rPr>
                <w:color w:val="1A171C"/>
              </w:rPr>
              <w:t>%</w:t>
            </w:r>
          </w:p>
        </w:tc>
      </w:tr>
    </w:tbl>
    <w:p w:rsidR="00363649" w:rsidRDefault="00363649" w:rsidP="0036364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514"/>
        <w:gridCol w:w="509"/>
        <w:gridCol w:w="499"/>
        <w:gridCol w:w="514"/>
        <w:gridCol w:w="590"/>
        <w:gridCol w:w="432"/>
      </w:tblGrid>
      <w:tr w:rsidR="00363649" w:rsidTr="00A60388">
        <w:trPr>
          <w:trHeight w:val="302"/>
        </w:trPr>
        <w:tc>
          <w:tcPr>
            <w:tcW w:w="4594" w:type="dxa"/>
            <w:gridSpan w:val="7"/>
            <w:tcBorders>
              <w:top w:val="single" w:sz="4" w:space="0" w:color="auto"/>
            </w:tcBorders>
          </w:tcPr>
          <w:p w:rsidR="00363649" w:rsidRDefault="00C6180E" w:rsidP="00A60388">
            <w:r>
              <w:rPr>
                <w:color w:val="1A171C"/>
              </w:rPr>
              <w:t>Повод для проведения цитологии</w:t>
            </w:r>
          </w:p>
        </w:tc>
      </w:tr>
      <w:tr w:rsidR="00363649" w:rsidTr="00A60388">
        <w:trPr>
          <w:trHeight w:val="192"/>
        </w:trPr>
        <w:tc>
          <w:tcPr>
            <w:tcW w:w="1536" w:type="dxa"/>
          </w:tcPr>
          <w:p w:rsidR="00363649" w:rsidRDefault="00C6180E" w:rsidP="00A60388">
            <w:r>
              <w:rPr>
                <w:color w:val="1A171C"/>
              </w:rPr>
              <w:t>Постоянный ВПЧ</w:t>
            </w:r>
          </w:p>
        </w:tc>
        <w:tc>
          <w:tcPr>
            <w:tcW w:w="514" w:type="dxa"/>
          </w:tcPr>
          <w:p w:rsidR="00363649" w:rsidRDefault="00C6180E" w:rsidP="00A60388">
            <w:r>
              <w:rPr>
                <w:color w:val="1A171C"/>
              </w:rPr>
              <w:t>3</w:t>
            </w:r>
          </w:p>
        </w:tc>
        <w:tc>
          <w:tcPr>
            <w:tcW w:w="509" w:type="dxa"/>
          </w:tcPr>
          <w:p w:rsidR="00363649" w:rsidRDefault="00363649" w:rsidP="00A60388">
            <w:r>
              <w:rPr>
                <w:color w:val="1A171C"/>
              </w:rPr>
              <w:t>75</w:t>
            </w:r>
          </w:p>
        </w:tc>
        <w:tc>
          <w:tcPr>
            <w:tcW w:w="499" w:type="dxa"/>
          </w:tcPr>
          <w:p w:rsidR="00363649" w:rsidRDefault="00C6180E" w:rsidP="00A60388">
            <w:r>
              <w:rPr>
                <w:color w:val="1A171C"/>
              </w:rPr>
              <w:t>0</w:t>
            </w:r>
          </w:p>
        </w:tc>
        <w:tc>
          <w:tcPr>
            <w:tcW w:w="514" w:type="dxa"/>
          </w:tcPr>
          <w:p w:rsidR="00363649" w:rsidRDefault="00C6180E" w:rsidP="00A60388">
            <w:r>
              <w:rPr>
                <w:color w:val="1A171C"/>
              </w:rPr>
              <w:t>0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1</w:t>
            </w:r>
          </w:p>
        </w:tc>
        <w:tc>
          <w:tcPr>
            <w:tcW w:w="432" w:type="dxa"/>
          </w:tcPr>
          <w:p w:rsidR="00363649" w:rsidRDefault="00363649" w:rsidP="00A60388">
            <w:r>
              <w:rPr>
                <w:color w:val="1A171C"/>
              </w:rPr>
              <w:t>25</w:t>
            </w:r>
          </w:p>
        </w:tc>
      </w:tr>
      <w:tr w:rsidR="00363649" w:rsidTr="00A60388">
        <w:trPr>
          <w:trHeight w:val="216"/>
        </w:trPr>
        <w:tc>
          <w:tcPr>
            <w:tcW w:w="4594" w:type="dxa"/>
            <w:gridSpan w:val="7"/>
          </w:tcPr>
          <w:p w:rsidR="00363649" w:rsidRDefault="00EC689A" w:rsidP="00733681">
            <w:r>
              <w:rPr>
                <w:color w:val="1A171C"/>
              </w:rPr>
              <w:t>Инфекция (</w:t>
            </w:r>
            <w:r w:rsidR="00733681"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4)</w:t>
            </w:r>
          </w:p>
        </w:tc>
      </w:tr>
      <w:tr w:rsidR="00363649" w:rsidTr="00A60388">
        <w:trPr>
          <w:trHeight w:val="206"/>
        </w:trPr>
        <w:tc>
          <w:tcPr>
            <w:tcW w:w="1536" w:type="dxa"/>
          </w:tcPr>
          <w:p w:rsidR="00363649" w:rsidRDefault="00EC689A" w:rsidP="00733681">
            <w:r>
              <w:rPr>
                <w:color w:val="1A171C"/>
              </w:rPr>
              <w:t>АПКНЗ (</w:t>
            </w:r>
            <w:r w:rsidR="00733681"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13)</w:t>
            </w:r>
          </w:p>
        </w:tc>
        <w:tc>
          <w:tcPr>
            <w:tcW w:w="514" w:type="dxa"/>
          </w:tcPr>
          <w:p w:rsidR="00363649" w:rsidRDefault="00363649" w:rsidP="00A60388">
            <w:r>
              <w:rPr>
                <w:color w:val="1A171C"/>
              </w:rPr>
              <w:t>5</w:t>
            </w:r>
          </w:p>
        </w:tc>
        <w:tc>
          <w:tcPr>
            <w:tcW w:w="509" w:type="dxa"/>
          </w:tcPr>
          <w:p w:rsidR="00363649" w:rsidRDefault="00EC689A" w:rsidP="00A60388"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9</w:t>
            </w:r>
          </w:p>
        </w:tc>
        <w:tc>
          <w:tcPr>
            <w:tcW w:w="499" w:type="dxa"/>
          </w:tcPr>
          <w:p w:rsidR="00363649" w:rsidRDefault="00EC689A" w:rsidP="00A60388">
            <w:r>
              <w:rPr>
                <w:color w:val="1A171C"/>
              </w:rPr>
              <w:t>6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46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2</w:t>
            </w:r>
          </w:p>
        </w:tc>
        <w:tc>
          <w:tcPr>
            <w:tcW w:w="432" w:type="dxa"/>
          </w:tcPr>
          <w:p w:rsidR="00363649" w:rsidRDefault="00363649" w:rsidP="00A60388">
            <w:r>
              <w:rPr>
                <w:color w:val="1A171C"/>
              </w:rPr>
              <w:t>15</w:t>
            </w:r>
          </w:p>
        </w:tc>
      </w:tr>
      <w:tr w:rsidR="00363649" w:rsidTr="00A60388">
        <w:trPr>
          <w:trHeight w:val="206"/>
        </w:trPr>
        <w:tc>
          <w:tcPr>
            <w:tcW w:w="1536" w:type="dxa"/>
          </w:tcPr>
          <w:p w:rsidR="00363649" w:rsidRDefault="00EC689A" w:rsidP="00733681">
            <w:r>
              <w:rPr>
                <w:color w:val="1A171C"/>
              </w:rPr>
              <w:t>НСПКВП</w:t>
            </w:r>
            <w:r w:rsidR="00363649">
              <w:rPr>
                <w:color w:val="1A171C"/>
              </w:rPr>
              <w:t xml:space="preserve"> </w:t>
            </w:r>
            <w:r>
              <w:rPr>
                <w:color w:val="1A171C"/>
              </w:rPr>
              <w:t>(</w:t>
            </w:r>
            <w:r w:rsidR="00733681"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11)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6</w:t>
            </w:r>
          </w:p>
        </w:tc>
        <w:tc>
          <w:tcPr>
            <w:tcW w:w="509" w:type="dxa"/>
          </w:tcPr>
          <w:p w:rsidR="00363649" w:rsidRDefault="00363649" w:rsidP="00A60388">
            <w:r>
              <w:rPr>
                <w:color w:val="1A171C"/>
              </w:rPr>
              <w:t>55</w:t>
            </w:r>
          </w:p>
        </w:tc>
        <w:tc>
          <w:tcPr>
            <w:tcW w:w="499" w:type="dxa"/>
          </w:tcPr>
          <w:p w:rsidR="00363649" w:rsidRDefault="00363649" w:rsidP="00A60388">
            <w:r>
              <w:rPr>
                <w:color w:val="1A171C"/>
              </w:rPr>
              <w:t>1</w:t>
            </w:r>
          </w:p>
        </w:tc>
        <w:tc>
          <w:tcPr>
            <w:tcW w:w="514" w:type="dxa"/>
          </w:tcPr>
          <w:p w:rsidR="00363649" w:rsidRDefault="00363649" w:rsidP="00A60388">
            <w:r>
              <w:rPr>
                <w:color w:val="1A171C"/>
              </w:rPr>
              <w:t>9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4</w:t>
            </w:r>
          </w:p>
        </w:tc>
        <w:tc>
          <w:tcPr>
            <w:tcW w:w="432" w:type="dxa"/>
          </w:tcPr>
          <w:p w:rsidR="00363649" w:rsidRDefault="00EC689A" w:rsidP="00A60388">
            <w:r>
              <w:rPr>
                <w:color w:val="1A171C"/>
              </w:rPr>
              <w:t>36</w:t>
            </w:r>
          </w:p>
        </w:tc>
      </w:tr>
      <w:tr w:rsidR="00363649" w:rsidTr="00A60388">
        <w:trPr>
          <w:trHeight w:val="211"/>
        </w:trPr>
        <w:tc>
          <w:tcPr>
            <w:tcW w:w="1536" w:type="dxa"/>
          </w:tcPr>
          <w:p w:rsidR="00363649" w:rsidRDefault="00EC689A" w:rsidP="00733681">
            <w:r>
              <w:rPr>
                <w:color w:val="1A171C"/>
              </w:rPr>
              <w:t>АГНЗ (</w:t>
            </w:r>
            <w:r w:rsidR="00733681"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37)</w:t>
            </w:r>
          </w:p>
        </w:tc>
        <w:tc>
          <w:tcPr>
            <w:tcW w:w="514" w:type="dxa"/>
          </w:tcPr>
          <w:p w:rsidR="00363649" w:rsidRDefault="00363649" w:rsidP="00A60388">
            <w:r>
              <w:rPr>
                <w:color w:val="1A171C"/>
              </w:rPr>
              <w:t>24</w:t>
            </w:r>
          </w:p>
        </w:tc>
        <w:tc>
          <w:tcPr>
            <w:tcW w:w="509" w:type="dxa"/>
          </w:tcPr>
          <w:p w:rsidR="00363649" w:rsidRDefault="00EC689A" w:rsidP="00A60388">
            <w:r>
              <w:rPr>
                <w:color w:val="1A171C"/>
              </w:rPr>
              <w:t>6</w:t>
            </w:r>
            <w:r w:rsidR="00363649">
              <w:rPr>
                <w:color w:val="1A171C"/>
              </w:rPr>
              <w:t>5</w:t>
            </w:r>
          </w:p>
        </w:tc>
        <w:tc>
          <w:tcPr>
            <w:tcW w:w="499" w:type="dxa"/>
          </w:tcPr>
          <w:p w:rsidR="00363649" w:rsidRDefault="00EC689A" w:rsidP="00A60388">
            <w:r>
              <w:rPr>
                <w:color w:val="1A171C"/>
              </w:rPr>
              <w:t>6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16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7</w:t>
            </w:r>
          </w:p>
        </w:tc>
        <w:tc>
          <w:tcPr>
            <w:tcW w:w="432" w:type="dxa"/>
          </w:tcPr>
          <w:p w:rsidR="00363649" w:rsidRDefault="00363649" w:rsidP="00A60388">
            <w:r>
              <w:rPr>
                <w:color w:val="1A171C"/>
              </w:rPr>
              <w:t>19</w:t>
            </w:r>
          </w:p>
        </w:tc>
      </w:tr>
      <w:tr w:rsidR="00363649" w:rsidTr="00A60388">
        <w:trPr>
          <w:trHeight w:val="211"/>
        </w:trPr>
        <w:tc>
          <w:tcPr>
            <w:tcW w:w="1536" w:type="dxa"/>
          </w:tcPr>
          <w:p w:rsidR="00363649" w:rsidRDefault="00733681" w:rsidP="00A60388">
            <w:r>
              <w:rPr>
                <w:color w:val="1A171C"/>
              </w:rPr>
              <w:t>АПК-В (</w:t>
            </w:r>
            <w:r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129)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5</w:t>
            </w:r>
          </w:p>
        </w:tc>
        <w:tc>
          <w:tcPr>
            <w:tcW w:w="509" w:type="dxa"/>
          </w:tcPr>
          <w:p w:rsidR="00363649" w:rsidRDefault="00363649" w:rsidP="00A60388">
            <w:r>
              <w:rPr>
                <w:color w:val="1A171C"/>
              </w:rPr>
              <w:t>27</w:t>
            </w:r>
          </w:p>
        </w:tc>
        <w:tc>
          <w:tcPr>
            <w:tcW w:w="499" w:type="dxa"/>
          </w:tcPr>
          <w:p w:rsidR="00363649" w:rsidRDefault="00363649" w:rsidP="00A60388">
            <w:r>
              <w:rPr>
                <w:color w:val="1A171C"/>
              </w:rPr>
              <w:t>18</w:t>
            </w:r>
          </w:p>
        </w:tc>
        <w:tc>
          <w:tcPr>
            <w:tcW w:w="514" w:type="dxa"/>
          </w:tcPr>
          <w:p w:rsidR="00363649" w:rsidRDefault="00363649" w:rsidP="00A60388">
            <w:r>
              <w:rPr>
                <w:color w:val="1A171C"/>
              </w:rPr>
              <w:t>14</w:t>
            </w:r>
          </w:p>
        </w:tc>
        <w:tc>
          <w:tcPr>
            <w:tcW w:w="590" w:type="dxa"/>
          </w:tcPr>
          <w:p w:rsidR="00363649" w:rsidRDefault="00EC689A" w:rsidP="00A60388">
            <w:r>
              <w:rPr>
                <w:color w:val="1A171C"/>
              </w:rPr>
              <w:t>76</w:t>
            </w:r>
          </w:p>
        </w:tc>
        <w:tc>
          <w:tcPr>
            <w:tcW w:w="432" w:type="dxa"/>
          </w:tcPr>
          <w:p w:rsidR="00363649" w:rsidRDefault="00363649" w:rsidP="00A60388">
            <w:r>
              <w:rPr>
                <w:color w:val="1A171C"/>
              </w:rPr>
              <w:t>59</w:t>
            </w:r>
          </w:p>
        </w:tc>
      </w:tr>
      <w:tr w:rsidR="00363649" w:rsidTr="00A60388">
        <w:trPr>
          <w:trHeight w:val="211"/>
        </w:trPr>
        <w:tc>
          <w:tcPr>
            <w:tcW w:w="1536" w:type="dxa"/>
          </w:tcPr>
          <w:p w:rsidR="00363649" w:rsidRDefault="00EC689A" w:rsidP="00A60388">
            <w:r>
              <w:rPr>
                <w:color w:val="1A171C"/>
              </w:rPr>
              <w:t>ВСПКВП</w:t>
            </w:r>
            <w:r w:rsidR="00363649">
              <w:rPr>
                <w:color w:val="1A171C"/>
              </w:rPr>
              <w:t xml:space="preserve"> (</w:t>
            </w:r>
            <w:proofErr w:type="spellStart"/>
            <w:r w:rsidR="00363649">
              <w:rPr>
                <w:color w:val="1A171C"/>
              </w:rPr>
              <w:t>n</w:t>
            </w:r>
            <w:proofErr w:type="spellEnd"/>
            <w:r w:rsidR="00363649">
              <w:rPr>
                <w:color w:val="1A171C"/>
              </w:rPr>
              <w:t xml:space="preserve"> = 98)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10</w:t>
            </w:r>
          </w:p>
        </w:tc>
        <w:tc>
          <w:tcPr>
            <w:tcW w:w="509" w:type="dxa"/>
          </w:tcPr>
          <w:p w:rsidR="00363649" w:rsidRDefault="00EC689A" w:rsidP="00A60388">
            <w:r>
              <w:rPr>
                <w:color w:val="1A171C"/>
              </w:rPr>
              <w:t>10</w:t>
            </w:r>
          </w:p>
        </w:tc>
        <w:tc>
          <w:tcPr>
            <w:tcW w:w="499" w:type="dxa"/>
          </w:tcPr>
          <w:p w:rsidR="00363649" w:rsidRDefault="00EC689A" w:rsidP="00A60388">
            <w:r>
              <w:rPr>
                <w:color w:val="1A171C"/>
              </w:rPr>
              <w:t>6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6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82</w:t>
            </w:r>
          </w:p>
        </w:tc>
        <w:tc>
          <w:tcPr>
            <w:tcW w:w="432" w:type="dxa"/>
          </w:tcPr>
          <w:p w:rsidR="00363649" w:rsidRDefault="00363649" w:rsidP="00A60388">
            <w:r>
              <w:rPr>
                <w:color w:val="1A171C"/>
              </w:rPr>
              <w:t>84</w:t>
            </w:r>
          </w:p>
        </w:tc>
      </w:tr>
      <w:tr w:rsidR="00363649" w:rsidTr="00A60388">
        <w:trPr>
          <w:trHeight w:val="206"/>
        </w:trPr>
        <w:tc>
          <w:tcPr>
            <w:tcW w:w="1536" w:type="dxa"/>
          </w:tcPr>
          <w:p w:rsidR="00733681" w:rsidRDefault="00733681" w:rsidP="00733681">
            <w:pPr>
              <w:spacing w:after="0"/>
              <w:rPr>
                <w:color w:val="1A171C"/>
                <w:lang w:val="en-US"/>
              </w:rPr>
            </w:pPr>
            <w:proofErr w:type="spellStart"/>
            <w:r>
              <w:rPr>
                <w:color w:val="1A171C"/>
              </w:rPr>
              <w:t>Аденокарцинома</w:t>
            </w:r>
            <w:proofErr w:type="spellEnd"/>
            <w:proofErr w:type="gramStart"/>
            <w:r>
              <w:rPr>
                <w:color w:val="1A171C"/>
              </w:rPr>
              <w:t xml:space="preserve"> И</w:t>
            </w:r>
            <w:proofErr w:type="gramEnd"/>
            <w:r>
              <w:rPr>
                <w:color w:val="1A171C"/>
              </w:rPr>
              <w:t xml:space="preserve">н ситу </w:t>
            </w:r>
          </w:p>
          <w:p w:rsidR="00363649" w:rsidRDefault="00733681" w:rsidP="00A60388">
            <w:r>
              <w:rPr>
                <w:color w:val="1A171C"/>
              </w:rPr>
              <w:t>(</w:t>
            </w:r>
            <w:r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2)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0</w:t>
            </w:r>
          </w:p>
        </w:tc>
        <w:tc>
          <w:tcPr>
            <w:tcW w:w="509" w:type="dxa"/>
          </w:tcPr>
          <w:p w:rsidR="00363649" w:rsidRDefault="00EC689A" w:rsidP="00A60388">
            <w:r>
              <w:rPr>
                <w:color w:val="1A171C"/>
              </w:rPr>
              <w:t>0</w:t>
            </w:r>
          </w:p>
        </w:tc>
        <w:tc>
          <w:tcPr>
            <w:tcW w:w="499" w:type="dxa"/>
          </w:tcPr>
          <w:p w:rsidR="00363649" w:rsidRDefault="00EC689A" w:rsidP="00A60388">
            <w:r>
              <w:rPr>
                <w:color w:val="1A171C"/>
              </w:rPr>
              <w:t>0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0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2</w:t>
            </w:r>
          </w:p>
        </w:tc>
        <w:tc>
          <w:tcPr>
            <w:tcW w:w="432" w:type="dxa"/>
          </w:tcPr>
          <w:p w:rsidR="00363649" w:rsidRPr="00EC689A" w:rsidRDefault="00EC689A" w:rsidP="00A60388">
            <w:r>
              <w:rPr>
                <w:color w:val="1A171C"/>
              </w:rPr>
              <w:t>10</w:t>
            </w:r>
          </w:p>
        </w:tc>
      </w:tr>
      <w:tr w:rsidR="00363649" w:rsidTr="00A60388">
        <w:trPr>
          <w:trHeight w:val="206"/>
        </w:trPr>
        <w:tc>
          <w:tcPr>
            <w:tcW w:w="1536" w:type="dxa"/>
          </w:tcPr>
          <w:p w:rsidR="00363649" w:rsidRDefault="00733681" w:rsidP="00A60388">
            <w:r>
              <w:rPr>
                <w:color w:val="1A171C"/>
              </w:rPr>
              <w:t>Другое</w:t>
            </w:r>
            <w:proofErr w:type="gramStart"/>
            <w:r w:rsidR="0097234D" w:rsidRPr="0097234D">
              <w:rPr>
                <w:color w:val="1A171C"/>
                <w:vertAlign w:val="superscript"/>
                <w:lang w:val="en-US"/>
              </w:rPr>
              <w:t>a</w:t>
            </w:r>
            <w:proofErr w:type="gramEnd"/>
            <w:r>
              <w:rPr>
                <w:color w:val="1A171C"/>
              </w:rPr>
              <w:t xml:space="preserve"> (</w:t>
            </w:r>
            <w:r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3)</w:t>
            </w:r>
          </w:p>
        </w:tc>
        <w:tc>
          <w:tcPr>
            <w:tcW w:w="514" w:type="dxa"/>
          </w:tcPr>
          <w:p w:rsidR="00363649" w:rsidRDefault="00363649" w:rsidP="00A60388">
            <w:r>
              <w:rPr>
                <w:color w:val="1A171C"/>
              </w:rPr>
              <w:t>1</w:t>
            </w:r>
          </w:p>
        </w:tc>
        <w:tc>
          <w:tcPr>
            <w:tcW w:w="509" w:type="dxa"/>
          </w:tcPr>
          <w:p w:rsidR="00363649" w:rsidRDefault="00EC689A" w:rsidP="00A60388">
            <w:r>
              <w:rPr>
                <w:color w:val="1A171C"/>
              </w:rPr>
              <w:t>33</w:t>
            </w:r>
          </w:p>
        </w:tc>
        <w:tc>
          <w:tcPr>
            <w:tcW w:w="499" w:type="dxa"/>
          </w:tcPr>
          <w:p w:rsidR="00363649" w:rsidRDefault="00363649" w:rsidP="00A60388">
            <w:r>
              <w:rPr>
                <w:color w:val="1A171C"/>
              </w:rPr>
              <w:t>1</w:t>
            </w:r>
          </w:p>
        </w:tc>
        <w:tc>
          <w:tcPr>
            <w:tcW w:w="514" w:type="dxa"/>
          </w:tcPr>
          <w:p w:rsidR="00363649" w:rsidRDefault="00EC689A" w:rsidP="00A60388">
            <w:r>
              <w:rPr>
                <w:color w:val="1A171C"/>
              </w:rPr>
              <w:t>33</w:t>
            </w:r>
          </w:p>
        </w:tc>
        <w:tc>
          <w:tcPr>
            <w:tcW w:w="590" w:type="dxa"/>
          </w:tcPr>
          <w:p w:rsidR="00363649" w:rsidRDefault="00363649" w:rsidP="00A60388">
            <w:r>
              <w:rPr>
                <w:color w:val="1A171C"/>
              </w:rPr>
              <w:t>1</w:t>
            </w:r>
          </w:p>
        </w:tc>
        <w:tc>
          <w:tcPr>
            <w:tcW w:w="432" w:type="dxa"/>
          </w:tcPr>
          <w:p w:rsidR="00363649" w:rsidRDefault="00EC689A" w:rsidP="00A60388">
            <w:r>
              <w:rPr>
                <w:color w:val="1A171C"/>
              </w:rPr>
              <w:t>33</w:t>
            </w:r>
          </w:p>
        </w:tc>
      </w:tr>
      <w:tr w:rsidR="00363649" w:rsidTr="00A60388">
        <w:trPr>
          <w:trHeight w:val="302"/>
        </w:trPr>
        <w:tc>
          <w:tcPr>
            <w:tcW w:w="1536" w:type="dxa"/>
            <w:tcBorders>
              <w:bottom w:val="single" w:sz="4" w:space="0" w:color="auto"/>
            </w:tcBorders>
          </w:tcPr>
          <w:p w:rsidR="00733681" w:rsidRDefault="00733681" w:rsidP="00733681">
            <w:pPr>
              <w:spacing w:after="0"/>
              <w:rPr>
                <w:color w:val="1A171C"/>
                <w:lang w:val="en-US"/>
              </w:rPr>
            </w:pPr>
            <w:r>
              <w:rPr>
                <w:color w:val="1A171C"/>
              </w:rPr>
              <w:t xml:space="preserve">Общее число </w:t>
            </w:r>
          </w:p>
          <w:p w:rsidR="00363649" w:rsidRDefault="00733681" w:rsidP="00733681">
            <w:pPr>
              <w:spacing w:after="0"/>
            </w:pPr>
            <w:r>
              <w:rPr>
                <w:color w:val="1A171C"/>
              </w:rPr>
              <w:t>(</w:t>
            </w:r>
            <w:r>
              <w:rPr>
                <w:color w:val="1A171C"/>
                <w:lang w:val="en-US"/>
              </w:rPr>
              <w:t>n</w:t>
            </w:r>
            <w:r w:rsidR="00363649">
              <w:rPr>
                <w:color w:val="1A171C"/>
              </w:rPr>
              <w:t xml:space="preserve"> = 297)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363649" w:rsidRDefault="00363649" w:rsidP="00A60388">
            <w:r>
              <w:rPr>
                <w:color w:val="1A171C"/>
              </w:rPr>
              <w:t>84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363649" w:rsidRDefault="00363649" w:rsidP="00A60388">
            <w:r>
              <w:rPr>
                <w:color w:val="1A171C"/>
              </w:rPr>
              <w:t>28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363649" w:rsidRDefault="00EC689A" w:rsidP="00A60388"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8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363649" w:rsidRDefault="00EC689A" w:rsidP="00A60388">
            <w:r>
              <w:rPr>
                <w:color w:val="1A171C"/>
              </w:rPr>
              <w:t>13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63649" w:rsidRDefault="00363649" w:rsidP="00A60388">
            <w:r>
              <w:rPr>
                <w:color w:val="1A171C"/>
              </w:rPr>
              <w:t>175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63649" w:rsidRDefault="00363649" w:rsidP="00A60388">
            <w:r>
              <w:rPr>
                <w:color w:val="1A171C"/>
              </w:rPr>
              <w:t>59</w:t>
            </w:r>
          </w:p>
        </w:tc>
      </w:tr>
    </w:tbl>
    <w:p w:rsidR="00363649" w:rsidRDefault="00363649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63649" w:rsidRDefault="00363649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7234D" w:rsidRPr="0097234D" w:rsidRDefault="00272BEE" w:rsidP="0097234D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r w:rsidRPr="0097234D">
        <w:rPr>
          <w:rFonts w:cstheme="minorHAnsi"/>
        </w:rPr>
        <w:lastRenderedPageBreak/>
        <w:t xml:space="preserve">ЦИН, цервикальная </w:t>
      </w:r>
      <w:proofErr w:type="spellStart"/>
      <w:r w:rsidRPr="0097234D">
        <w:rPr>
          <w:rFonts w:cstheme="minorHAnsi"/>
        </w:rPr>
        <w:t>интраэпиделиальная</w:t>
      </w:r>
      <w:proofErr w:type="spellEnd"/>
      <w:r w:rsidRPr="0097234D">
        <w:rPr>
          <w:rFonts w:cstheme="minorHAnsi"/>
        </w:rPr>
        <w:t xml:space="preserve"> неоплазия; АПКНЗ - </w:t>
      </w:r>
      <w:proofErr w:type="spellStart"/>
      <w:r w:rsidRPr="0097234D">
        <w:rPr>
          <w:rFonts w:cstheme="minorHAnsi"/>
        </w:rPr>
        <w:t>атипичные</w:t>
      </w:r>
      <w:proofErr w:type="spellEnd"/>
      <w:r w:rsidRPr="0097234D">
        <w:rPr>
          <w:rFonts w:cstheme="minorHAnsi"/>
        </w:rPr>
        <w:t xml:space="preserve"> плоские клетки неопределённого значения; </w:t>
      </w:r>
      <w:r w:rsidRPr="0097234D">
        <w:rPr>
          <w:rFonts w:cstheme="minorHAnsi"/>
          <w:color w:val="1A171C"/>
        </w:rPr>
        <w:t xml:space="preserve">ВСПКВП - высокосортное плоскоклеточное </w:t>
      </w:r>
      <w:proofErr w:type="spellStart"/>
      <w:r w:rsidRPr="0097234D">
        <w:rPr>
          <w:rFonts w:cstheme="minorHAnsi"/>
          <w:color w:val="1A171C"/>
        </w:rPr>
        <w:t>внутриэпителиальное</w:t>
      </w:r>
      <w:proofErr w:type="spellEnd"/>
      <w:r w:rsidRPr="0097234D">
        <w:rPr>
          <w:rFonts w:cstheme="minorHAnsi"/>
          <w:color w:val="1A171C"/>
        </w:rPr>
        <w:t xml:space="preserve"> поражение; НСПКВП Низкосортное плоскоклеточное </w:t>
      </w:r>
      <w:proofErr w:type="spellStart"/>
      <w:r w:rsidRPr="0097234D">
        <w:rPr>
          <w:rFonts w:cstheme="minorHAnsi"/>
          <w:color w:val="1A171C"/>
        </w:rPr>
        <w:t>внутриэпителиальное</w:t>
      </w:r>
      <w:proofErr w:type="spellEnd"/>
      <w:r w:rsidRPr="0097234D">
        <w:rPr>
          <w:rFonts w:cstheme="minorHAnsi"/>
          <w:color w:val="1A171C"/>
        </w:rPr>
        <w:t xml:space="preserve"> поражение; АГКНЗ - </w:t>
      </w:r>
      <w:proofErr w:type="spellStart"/>
      <w:r w:rsidRPr="0097234D">
        <w:rPr>
          <w:rFonts w:cstheme="minorHAnsi"/>
          <w:color w:val="1A171C"/>
        </w:rPr>
        <w:t>атипичные</w:t>
      </w:r>
      <w:proofErr w:type="spellEnd"/>
      <w:r w:rsidRPr="0097234D">
        <w:rPr>
          <w:rFonts w:cstheme="minorHAnsi"/>
          <w:color w:val="1A171C"/>
        </w:rPr>
        <w:t xml:space="preserve"> </w:t>
      </w:r>
      <w:proofErr w:type="spellStart"/>
      <w:r w:rsidRPr="0097234D">
        <w:rPr>
          <w:rFonts w:cstheme="minorHAnsi"/>
          <w:color w:val="1A171C"/>
        </w:rPr>
        <w:t>гландулярные</w:t>
      </w:r>
      <w:proofErr w:type="spellEnd"/>
      <w:r w:rsidRPr="0097234D">
        <w:rPr>
          <w:rFonts w:cstheme="minorHAnsi"/>
          <w:color w:val="1A171C"/>
        </w:rPr>
        <w:t xml:space="preserve"> клетки неопределённого значения; </w:t>
      </w:r>
      <w:proofErr w:type="spellStart"/>
      <w:r w:rsidRPr="0097234D">
        <w:rPr>
          <w:rFonts w:cstheme="minorHAnsi"/>
          <w:color w:val="1A171C"/>
        </w:rPr>
        <w:t>атипичные</w:t>
      </w:r>
      <w:proofErr w:type="spellEnd"/>
      <w:r w:rsidRPr="0097234D">
        <w:rPr>
          <w:rFonts w:cstheme="minorHAnsi"/>
          <w:color w:val="1A171C"/>
        </w:rPr>
        <w:t xml:space="preserve"> плоские клетки не могут исключать высокосортное плоскоклеточное </w:t>
      </w:r>
      <w:proofErr w:type="spellStart"/>
      <w:r w:rsidRPr="0097234D">
        <w:rPr>
          <w:rFonts w:cstheme="minorHAnsi"/>
          <w:color w:val="1A171C"/>
        </w:rPr>
        <w:t>интраэпиделиальное</w:t>
      </w:r>
      <w:proofErr w:type="spellEnd"/>
      <w:r w:rsidRPr="0097234D">
        <w:rPr>
          <w:rFonts w:cstheme="minorHAnsi"/>
          <w:color w:val="1A171C"/>
        </w:rPr>
        <w:t xml:space="preserve"> поражение; АДИС - </w:t>
      </w:r>
      <w:proofErr w:type="spellStart"/>
      <w:r w:rsidRPr="0097234D">
        <w:rPr>
          <w:rFonts w:cstheme="minorHAnsi"/>
          <w:color w:val="1A171C"/>
        </w:rPr>
        <w:t>аденокарцинома</w:t>
      </w:r>
      <w:proofErr w:type="spellEnd"/>
      <w:r w:rsidRPr="0097234D">
        <w:rPr>
          <w:rFonts w:cstheme="minorHAnsi"/>
          <w:color w:val="1A171C"/>
        </w:rPr>
        <w:t xml:space="preserve"> ин ситу (</w:t>
      </w:r>
      <w:proofErr w:type="spellStart"/>
      <w:r w:rsidRPr="0097234D">
        <w:rPr>
          <w:rFonts w:cstheme="minorHAnsi"/>
          <w:color w:val="1A171C"/>
        </w:rPr>
        <w:t>интраэпиделиальный</w:t>
      </w:r>
      <w:proofErr w:type="spellEnd"/>
      <w:r w:rsidRPr="0097234D">
        <w:rPr>
          <w:rFonts w:cstheme="minorHAnsi"/>
          <w:color w:val="1A171C"/>
        </w:rPr>
        <w:t xml:space="preserve"> рак). </w:t>
      </w:r>
    </w:p>
    <w:p w:rsidR="00272BEE" w:rsidRPr="0097234D" w:rsidRDefault="0097234D" w:rsidP="006C2B8D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proofErr w:type="gramStart"/>
      <w:r w:rsidRPr="0097234D">
        <w:rPr>
          <w:rFonts w:cstheme="minorHAnsi"/>
          <w:color w:val="1A171C"/>
          <w:vertAlign w:val="superscript"/>
          <w:lang w:val="en-US"/>
        </w:rPr>
        <w:t>A</w:t>
      </w:r>
      <w:r w:rsidR="00272BEE" w:rsidRPr="0097234D">
        <w:rPr>
          <w:rFonts w:cstheme="minorHAnsi"/>
          <w:color w:val="1A171C"/>
        </w:rPr>
        <w:t xml:space="preserve">включает одну женщину с НСПКВП, причём НСПКВП нельзя исключить; Один случай </w:t>
      </w:r>
      <w:proofErr w:type="spellStart"/>
      <w:r w:rsidR="00272BEE" w:rsidRPr="0097234D">
        <w:rPr>
          <w:rFonts w:cstheme="minorHAnsi"/>
          <w:color w:val="1A171C"/>
        </w:rPr>
        <w:t>аденокарциномы</w:t>
      </w:r>
      <w:proofErr w:type="spellEnd"/>
      <w:r w:rsidR="00272BEE" w:rsidRPr="0097234D">
        <w:rPr>
          <w:rFonts w:cstheme="minorHAnsi"/>
          <w:color w:val="1A171C"/>
        </w:rPr>
        <w:t xml:space="preserve"> и один случай, когда </w:t>
      </w:r>
      <w:proofErr w:type="spellStart"/>
      <w:r w:rsidR="00272BEE" w:rsidRPr="0097234D">
        <w:rPr>
          <w:rFonts w:cstheme="minorHAnsi"/>
          <w:color w:val="1A171C"/>
        </w:rPr>
        <w:t>аденокарциному</w:t>
      </w:r>
      <w:proofErr w:type="spellEnd"/>
      <w:r w:rsidR="00272BEE" w:rsidRPr="0097234D">
        <w:rPr>
          <w:rFonts w:cstheme="minorHAnsi"/>
          <w:color w:val="1A171C"/>
        </w:rPr>
        <w:t xml:space="preserve"> нельзя исключить.</w:t>
      </w:r>
      <w:proofErr w:type="gramEnd"/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71C"/>
          <w:sz w:val="24"/>
          <w:szCs w:val="24"/>
        </w:rPr>
      </w:pPr>
    </w:p>
    <w:p w:rsidR="00272BEE" w:rsidRPr="00601282" w:rsidRDefault="00272BEE" w:rsidP="00272BEE">
      <w:pPr>
        <w:widowControl w:val="0"/>
        <w:autoSpaceDE w:val="0"/>
        <w:autoSpaceDN w:val="0"/>
        <w:adjustRightInd w:val="0"/>
        <w:rPr>
          <w:rFonts w:cstheme="minorHAnsi"/>
        </w:rPr>
      </w:pPr>
      <w:r w:rsidRPr="00601282">
        <w:rPr>
          <w:rFonts w:cstheme="minorHAnsi"/>
          <w:color w:val="1A171C"/>
        </w:rPr>
        <w:t xml:space="preserve">Табл. 3: Результаты </w:t>
      </w:r>
      <w:proofErr w:type="spellStart"/>
      <w:r w:rsidRPr="00601282">
        <w:rPr>
          <w:rFonts w:cstheme="minorHAnsi"/>
          <w:color w:val="1A171C"/>
        </w:rPr>
        <w:t>кольпоскопии</w:t>
      </w:r>
      <w:proofErr w:type="spellEnd"/>
      <w:r w:rsidRPr="00601282">
        <w:rPr>
          <w:rFonts w:cstheme="minorHAnsi"/>
          <w:color w:val="1A171C"/>
        </w:rPr>
        <w:t xml:space="preserve"> исходя из видимости зоны </w:t>
      </w:r>
      <w:r w:rsidRPr="00601282">
        <w:rPr>
          <w:rFonts w:cstheme="minorHAnsi"/>
        </w:rPr>
        <w:t>перехода плоского эпителия пищевода в цилиндрический эпителий безотносительно гистологии.</w:t>
      </w:r>
    </w:p>
    <w:p w:rsidR="00272BEE" w:rsidRDefault="00363649" w:rsidP="0097234D">
      <w:pPr>
        <w:widowControl w:val="0"/>
        <w:autoSpaceDE w:val="0"/>
        <w:autoSpaceDN w:val="0"/>
        <w:adjustRightInd w:val="0"/>
        <w:ind w:right="472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Общее число женщин </w:t>
      </w:r>
      <w:r w:rsidR="0097234D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 xml:space="preserve"> = 297;</w:t>
      </w:r>
    </w:p>
    <w:p w:rsidR="00363649" w:rsidRDefault="00363649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Положительная гистология, отрицательная гистология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9"/>
        <w:gridCol w:w="1103"/>
        <w:gridCol w:w="709"/>
        <w:gridCol w:w="992"/>
        <w:gridCol w:w="709"/>
        <w:gridCol w:w="1021"/>
      </w:tblGrid>
      <w:tr w:rsidR="0002674C" w:rsidTr="00E13099">
        <w:trPr>
          <w:trHeight w:val="259"/>
        </w:trPr>
        <w:tc>
          <w:tcPr>
            <w:tcW w:w="1459" w:type="dxa"/>
            <w:vMerge w:val="restart"/>
          </w:tcPr>
          <w:p w:rsidR="0002674C" w:rsidRDefault="0002674C" w:rsidP="00A60388">
            <w:pPr>
              <w:rPr>
                <w:sz w:val="10"/>
                <w:szCs w:val="10"/>
              </w:rPr>
            </w:pPr>
          </w:p>
        </w:tc>
        <w:tc>
          <w:tcPr>
            <w:tcW w:w="1812" w:type="dxa"/>
            <w:gridSpan w:val="2"/>
          </w:tcPr>
          <w:p w:rsidR="0002674C" w:rsidRDefault="0002674C" w:rsidP="00A60388">
            <w:pPr>
              <w:rPr>
                <w:sz w:val="10"/>
                <w:szCs w:val="10"/>
              </w:rPr>
            </w:pPr>
            <w:r w:rsidRPr="0097234D">
              <w:rPr>
                <w:color w:val="1A171C"/>
              </w:rPr>
              <w:t xml:space="preserve">Отрицательные результаты </w:t>
            </w:r>
            <w:proofErr w:type="spellStart"/>
            <w:r w:rsidRPr="0097234D">
              <w:rPr>
                <w:color w:val="1A171C"/>
              </w:rPr>
              <w:t>кольпоскопии</w:t>
            </w:r>
            <w:proofErr w:type="spellEnd"/>
          </w:p>
        </w:tc>
        <w:tc>
          <w:tcPr>
            <w:tcW w:w="1701" w:type="dxa"/>
            <w:gridSpan w:val="2"/>
          </w:tcPr>
          <w:p w:rsidR="0002674C" w:rsidRDefault="0002674C" w:rsidP="00A60388">
            <w:pPr>
              <w:rPr>
                <w:sz w:val="10"/>
                <w:szCs w:val="10"/>
              </w:rPr>
            </w:pPr>
            <w:proofErr w:type="spellStart"/>
            <w:r>
              <w:rPr>
                <w:color w:val="1A171C"/>
                <w:lang w:val="en-US"/>
              </w:rPr>
              <w:t>Положительн</w:t>
            </w:r>
            <w:r>
              <w:rPr>
                <w:color w:val="1A171C"/>
              </w:rPr>
              <w:t>ые</w:t>
            </w:r>
            <w:proofErr w:type="spellEnd"/>
            <w:r w:rsidRPr="0097234D">
              <w:rPr>
                <w:color w:val="1A171C"/>
              </w:rPr>
              <w:t xml:space="preserve"> результаты </w:t>
            </w:r>
            <w:proofErr w:type="spellStart"/>
            <w:r w:rsidRPr="0097234D">
              <w:rPr>
                <w:color w:val="1A171C"/>
              </w:rPr>
              <w:t>кольпоскопии</w:t>
            </w:r>
            <w:proofErr w:type="spellEnd"/>
          </w:p>
        </w:tc>
        <w:tc>
          <w:tcPr>
            <w:tcW w:w="1021" w:type="dxa"/>
            <w:vMerge w:val="restart"/>
          </w:tcPr>
          <w:p w:rsidR="0002674C" w:rsidRDefault="0002674C" w:rsidP="00A60388">
            <w:r>
              <w:rPr>
                <w:color w:val="1A171C"/>
              </w:rPr>
              <w:t>Общее число</w:t>
            </w:r>
          </w:p>
          <w:p w:rsidR="0002674C" w:rsidRPr="0097234D" w:rsidRDefault="0002674C" w:rsidP="00A60388">
            <w:pPr>
              <w:rPr>
                <w:lang w:val="en-US"/>
              </w:rPr>
            </w:pPr>
            <w:r>
              <w:rPr>
                <w:color w:val="1A171C"/>
                <w:lang w:val="en-US"/>
              </w:rPr>
              <w:t>n</w:t>
            </w:r>
          </w:p>
        </w:tc>
      </w:tr>
      <w:tr w:rsidR="00363649" w:rsidTr="0002674C">
        <w:trPr>
          <w:trHeight w:val="448"/>
        </w:trPr>
        <w:tc>
          <w:tcPr>
            <w:tcW w:w="1459" w:type="dxa"/>
            <w:vMerge/>
          </w:tcPr>
          <w:p w:rsidR="00363649" w:rsidRDefault="00363649" w:rsidP="0002674C">
            <w:pPr>
              <w:spacing w:after="0"/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363649" w:rsidRPr="0097234D" w:rsidRDefault="0097234D" w:rsidP="0002674C">
            <w:pPr>
              <w:spacing w:after="0"/>
              <w:rPr>
                <w:lang w:val="en-US"/>
              </w:rPr>
            </w:pPr>
            <w:r>
              <w:rPr>
                <w:color w:val="1A171C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after="0"/>
            </w:pPr>
            <w:r>
              <w:rPr>
                <w:color w:val="1A171C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3649" w:rsidRPr="0097234D" w:rsidRDefault="0097234D" w:rsidP="0002674C">
            <w:pPr>
              <w:spacing w:after="0"/>
              <w:rPr>
                <w:lang w:val="en-US"/>
              </w:rPr>
            </w:pPr>
            <w:r>
              <w:rPr>
                <w:color w:val="1A171C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after="0"/>
            </w:pPr>
            <w:r>
              <w:rPr>
                <w:color w:val="1A171C"/>
              </w:rPr>
              <w:t>%</w:t>
            </w:r>
          </w:p>
        </w:tc>
        <w:tc>
          <w:tcPr>
            <w:tcW w:w="1021" w:type="dxa"/>
            <w:vMerge/>
          </w:tcPr>
          <w:p w:rsidR="00363649" w:rsidRDefault="00363649" w:rsidP="0002674C">
            <w:pPr>
              <w:spacing w:after="0"/>
            </w:pPr>
          </w:p>
        </w:tc>
      </w:tr>
      <w:tr w:rsidR="00363649" w:rsidTr="0002674C">
        <w:trPr>
          <w:trHeight w:val="298"/>
        </w:trPr>
        <w:tc>
          <w:tcPr>
            <w:tcW w:w="1459" w:type="dxa"/>
            <w:tcBorders>
              <w:top w:val="single" w:sz="4" w:space="0" w:color="auto"/>
            </w:tcBorders>
          </w:tcPr>
          <w:p w:rsidR="00363649" w:rsidRDefault="00EC689A" w:rsidP="0002674C">
            <w:pPr>
              <w:spacing w:after="0" w:line="240" w:lineRule="auto"/>
            </w:pPr>
            <w:r>
              <w:rPr>
                <w:color w:val="1A171C"/>
              </w:rPr>
              <w:t>Обзор</w:t>
            </w:r>
            <w:r w:rsidR="002A7FF5">
              <w:rPr>
                <w:color w:val="1A171C"/>
              </w:rPr>
              <w:t xml:space="preserve"> зоны перехода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63649" w:rsidRDefault="00363649" w:rsidP="0002674C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63649" w:rsidTr="0002674C">
        <w:trPr>
          <w:trHeight w:val="192"/>
        </w:trPr>
        <w:tc>
          <w:tcPr>
            <w:tcW w:w="1459" w:type="dxa"/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Зона перехода не видна</w:t>
            </w:r>
          </w:p>
        </w:tc>
        <w:tc>
          <w:tcPr>
            <w:tcW w:w="1103" w:type="dxa"/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29</w:t>
            </w:r>
          </w:p>
        </w:tc>
        <w:tc>
          <w:tcPr>
            <w:tcW w:w="709" w:type="dxa"/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94</w:t>
            </w:r>
          </w:p>
        </w:tc>
        <w:tc>
          <w:tcPr>
            <w:tcW w:w="992" w:type="dxa"/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2</w:t>
            </w:r>
          </w:p>
        </w:tc>
        <w:tc>
          <w:tcPr>
            <w:tcW w:w="709" w:type="dxa"/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6</w:t>
            </w:r>
          </w:p>
        </w:tc>
        <w:tc>
          <w:tcPr>
            <w:tcW w:w="1021" w:type="dxa"/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3</w:t>
            </w:r>
            <w:r w:rsidR="00363649">
              <w:rPr>
                <w:color w:val="1A171C"/>
              </w:rPr>
              <w:t>1</w:t>
            </w:r>
          </w:p>
        </w:tc>
      </w:tr>
      <w:tr w:rsidR="00363649" w:rsidTr="0002674C">
        <w:trPr>
          <w:trHeight w:val="211"/>
        </w:trPr>
        <w:tc>
          <w:tcPr>
            <w:tcW w:w="1459" w:type="dxa"/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Зона перехода видна частично</w:t>
            </w:r>
          </w:p>
        </w:tc>
        <w:tc>
          <w:tcPr>
            <w:tcW w:w="1103" w:type="dxa"/>
          </w:tcPr>
          <w:p w:rsidR="00363649" w:rsidRPr="0097234D" w:rsidRDefault="00363649" w:rsidP="0002674C">
            <w:pPr>
              <w:spacing w:line="240" w:lineRule="auto"/>
              <w:rPr>
                <w:lang w:val="en-US"/>
              </w:rPr>
            </w:pPr>
            <w:r>
              <w:rPr>
                <w:color w:val="1A171C"/>
              </w:rPr>
              <w:t>2</w:t>
            </w:r>
            <w:r w:rsidR="0097234D">
              <w:rPr>
                <w:color w:val="1A171C"/>
                <w:lang w:val="en-US"/>
              </w:rPr>
              <w:t>6</w:t>
            </w:r>
          </w:p>
        </w:tc>
        <w:tc>
          <w:tcPr>
            <w:tcW w:w="709" w:type="dxa"/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44</w:t>
            </w:r>
          </w:p>
        </w:tc>
        <w:tc>
          <w:tcPr>
            <w:tcW w:w="992" w:type="dxa"/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33</w:t>
            </w:r>
          </w:p>
        </w:tc>
        <w:tc>
          <w:tcPr>
            <w:tcW w:w="709" w:type="dxa"/>
          </w:tcPr>
          <w:p w:rsidR="00363649" w:rsidRPr="0097234D" w:rsidRDefault="00363649" w:rsidP="0002674C">
            <w:pPr>
              <w:spacing w:line="240" w:lineRule="auto"/>
              <w:rPr>
                <w:lang w:val="en-US"/>
              </w:rPr>
            </w:pPr>
            <w:r>
              <w:rPr>
                <w:color w:val="1A171C"/>
              </w:rPr>
              <w:t>5</w:t>
            </w:r>
            <w:r w:rsidR="0097234D">
              <w:rPr>
                <w:color w:val="1A171C"/>
                <w:lang w:val="en-US"/>
              </w:rPr>
              <w:t>6</w:t>
            </w:r>
          </w:p>
        </w:tc>
        <w:tc>
          <w:tcPr>
            <w:tcW w:w="1021" w:type="dxa"/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59</w:t>
            </w:r>
          </w:p>
        </w:tc>
      </w:tr>
      <w:tr w:rsidR="00363649" w:rsidTr="0002674C">
        <w:trPr>
          <w:trHeight w:val="302"/>
        </w:trPr>
        <w:tc>
          <w:tcPr>
            <w:tcW w:w="1459" w:type="dxa"/>
            <w:tcBorders>
              <w:bottom w:val="single" w:sz="4" w:space="0" w:color="auto"/>
            </w:tcBorders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Зона перехода полностью видна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3649" w:rsidRDefault="00363649" w:rsidP="0002674C">
            <w:pPr>
              <w:spacing w:line="240" w:lineRule="auto"/>
            </w:pPr>
            <w:r>
              <w:rPr>
                <w:color w:val="1A171C"/>
              </w:rPr>
              <w:t>115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56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63649" w:rsidRDefault="002A7FF5" w:rsidP="0002674C">
            <w:pPr>
              <w:spacing w:line="240" w:lineRule="auto"/>
            </w:pPr>
            <w:r>
              <w:rPr>
                <w:color w:val="1A171C"/>
              </w:rPr>
              <w:t>20</w:t>
            </w:r>
            <w:r w:rsidR="00363649">
              <w:rPr>
                <w:color w:val="1A171C"/>
              </w:rPr>
              <w:t>7</w:t>
            </w:r>
          </w:p>
        </w:tc>
      </w:tr>
    </w:tbl>
    <w:p w:rsidR="00363649" w:rsidRPr="00363649" w:rsidRDefault="00363649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72BEE" w:rsidRPr="00601282" w:rsidRDefault="00272BEE" w:rsidP="00601282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r w:rsidRPr="00601282">
        <w:rPr>
          <w:rFonts w:cstheme="minorHAnsi"/>
        </w:rPr>
        <w:t>У 28% участниц нашего исследования нормальная гистология, у 13% выявлена ЦИН 1, у остальных 175 женщин выявлена ЦИН</w:t>
      </w:r>
      <w:proofErr w:type="gramStart"/>
      <w:r w:rsidRPr="00601282">
        <w:rPr>
          <w:rFonts w:cstheme="minorHAnsi"/>
        </w:rPr>
        <w:t>2</w:t>
      </w:r>
      <w:proofErr w:type="gramEnd"/>
      <w:r w:rsidRPr="00601282">
        <w:rPr>
          <w:rFonts w:cstheme="minorHAnsi"/>
        </w:rPr>
        <w:t xml:space="preserve"> + (13% ЦИН2, 45% ЦИН3), 1% (у пяти женщин) </w:t>
      </w:r>
      <w:proofErr w:type="spellStart"/>
      <w:r w:rsidRPr="00601282">
        <w:rPr>
          <w:rFonts w:cstheme="minorHAnsi"/>
        </w:rPr>
        <w:t>Аденокарцинома</w:t>
      </w:r>
      <w:proofErr w:type="spellEnd"/>
      <w:r w:rsidRPr="00601282">
        <w:rPr>
          <w:rFonts w:cstheme="minorHAnsi"/>
        </w:rPr>
        <w:t xml:space="preserve"> </w:t>
      </w:r>
      <w:proofErr w:type="spellStart"/>
      <w:r w:rsidRPr="00601282">
        <w:rPr>
          <w:rFonts w:cstheme="minorHAnsi"/>
        </w:rPr>
        <w:t>in</w:t>
      </w:r>
      <w:proofErr w:type="spellEnd"/>
      <w:r w:rsidRPr="00601282">
        <w:rPr>
          <w:rFonts w:cstheme="minorHAnsi"/>
        </w:rPr>
        <w:t xml:space="preserve"> </w:t>
      </w:r>
      <w:proofErr w:type="spellStart"/>
      <w:r w:rsidRPr="00601282">
        <w:rPr>
          <w:rFonts w:cstheme="minorHAnsi"/>
        </w:rPr>
        <w:t>situ</w:t>
      </w:r>
      <w:proofErr w:type="spellEnd"/>
      <w:r w:rsidRPr="00601282">
        <w:rPr>
          <w:rFonts w:cstheme="minorHAnsi"/>
        </w:rPr>
        <w:t xml:space="preserve">, причём у 4-х из них ЦИН 3-й степени. </w:t>
      </w:r>
      <w:proofErr w:type="spellStart"/>
      <w:r w:rsidRPr="00601282">
        <w:rPr>
          <w:rFonts w:cstheme="minorHAnsi"/>
        </w:rPr>
        <w:t>Инвазивный</w:t>
      </w:r>
      <w:proofErr w:type="spellEnd"/>
      <w:r w:rsidRPr="00601282">
        <w:rPr>
          <w:rFonts w:cstheme="minorHAnsi"/>
        </w:rPr>
        <w:t xml:space="preserve"> рак не был обнаружен ни в одном случае, как при биопсии, так и при исследовании материала, полученного в ходе </w:t>
      </w:r>
      <w:proofErr w:type="spellStart"/>
      <w:r w:rsidRPr="00601282">
        <w:rPr>
          <w:rFonts w:cstheme="minorHAnsi"/>
        </w:rPr>
        <w:t>эндоцервикального</w:t>
      </w:r>
      <w:proofErr w:type="spellEnd"/>
      <w:r w:rsidRPr="00601282">
        <w:rPr>
          <w:rFonts w:cstheme="minorHAnsi"/>
        </w:rPr>
        <w:t xml:space="preserve"> </w:t>
      </w:r>
      <w:proofErr w:type="spellStart"/>
      <w:r w:rsidRPr="00601282">
        <w:rPr>
          <w:rFonts w:cstheme="minorHAnsi"/>
        </w:rPr>
        <w:t>кюретажа</w:t>
      </w:r>
      <w:proofErr w:type="spellEnd"/>
      <w:r w:rsidRPr="00601282">
        <w:rPr>
          <w:rFonts w:cstheme="minorHAnsi"/>
        </w:rPr>
        <w:t>. Процент женщин с ЦИН</w:t>
      </w:r>
      <w:proofErr w:type="gramStart"/>
      <w:r w:rsidRPr="00601282">
        <w:rPr>
          <w:rFonts w:cstheme="minorHAnsi"/>
        </w:rPr>
        <w:t>2</w:t>
      </w:r>
      <w:proofErr w:type="gramEnd"/>
      <w:r w:rsidRPr="00601282">
        <w:rPr>
          <w:rFonts w:cstheme="minorHAnsi"/>
        </w:rPr>
        <w:t xml:space="preserve"> + был значительно выше среди женщин в возрасте младше 50 лет </w:t>
      </w:r>
      <w:r w:rsidRPr="00601282">
        <w:rPr>
          <w:rFonts w:cstheme="minorHAnsi"/>
          <w:color w:val="1A171C"/>
        </w:rPr>
        <w:t>(62%,</w:t>
      </w:r>
      <w:r w:rsidRPr="00601282">
        <w:rPr>
          <w:rFonts w:cstheme="minorHAnsi"/>
          <w:color w:val="1A171C"/>
        </w:rPr>
        <w:br/>
        <w:t xml:space="preserve">95% </w:t>
      </w:r>
      <w:r w:rsidR="001D7237" w:rsidRPr="00601282">
        <w:rPr>
          <w:rFonts w:cstheme="minorHAnsi"/>
          <w:color w:val="1A171C"/>
        </w:rPr>
        <w:t>ДИ</w:t>
      </w:r>
      <w:r w:rsidRPr="00601282">
        <w:rPr>
          <w:rFonts w:cstheme="minorHAnsi"/>
          <w:color w:val="1A171C"/>
        </w:rPr>
        <w:t xml:space="preserve"> 56-68%) в сравнении с женщинами старше 50 лет (18%, 95% </w:t>
      </w:r>
      <w:r w:rsidR="001D7237" w:rsidRPr="00601282">
        <w:rPr>
          <w:rFonts w:cstheme="minorHAnsi"/>
          <w:color w:val="1A171C"/>
        </w:rPr>
        <w:t>ДИ</w:t>
      </w:r>
      <w:r w:rsidRPr="00601282">
        <w:rPr>
          <w:rFonts w:cstheme="minorHAnsi"/>
          <w:color w:val="1A171C"/>
        </w:rPr>
        <w:t xml:space="preserve"> 5-40%).</w:t>
      </w:r>
    </w:p>
    <w:p w:rsidR="00272BEE" w:rsidRPr="00601282" w:rsidRDefault="00272BEE" w:rsidP="00601282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r w:rsidRPr="00601282">
        <w:rPr>
          <w:rFonts w:cstheme="minorHAnsi"/>
        </w:rPr>
        <w:t>Из 175 женщин с ЦИН</w:t>
      </w:r>
      <w:proofErr w:type="gramStart"/>
      <w:r w:rsidRPr="00601282">
        <w:rPr>
          <w:rFonts w:cstheme="minorHAnsi"/>
        </w:rPr>
        <w:t>2</w:t>
      </w:r>
      <w:proofErr w:type="gramEnd"/>
      <w:r w:rsidRPr="00601282">
        <w:rPr>
          <w:rFonts w:cstheme="minorHAnsi"/>
        </w:rPr>
        <w:t xml:space="preserve"> +, поражение было выявлено только в результате биопсии, в 135 случаях </w:t>
      </w:r>
      <w:r w:rsidRPr="00601282">
        <w:rPr>
          <w:rFonts w:cstheme="minorHAnsi"/>
          <w:color w:val="1A171C"/>
        </w:rPr>
        <w:t>(77</w:t>
      </w:r>
      <w:r w:rsidR="00601282">
        <w:rPr>
          <w:rFonts w:cstheme="minorHAnsi"/>
          <w:color w:val="1A171C"/>
        </w:rPr>
        <w:t>%). У 39 (у 22%) женщин</w:t>
      </w:r>
      <w:r w:rsidRPr="00601282">
        <w:rPr>
          <w:rFonts w:cstheme="minorHAnsi"/>
          <w:color w:val="1A171C"/>
        </w:rPr>
        <w:t xml:space="preserve"> поражения были обнаружены при биопсии и изучении материала, полученного в ходе </w:t>
      </w:r>
      <w:proofErr w:type="spellStart"/>
      <w:r w:rsidRPr="00601282">
        <w:rPr>
          <w:rFonts w:cstheme="minorHAnsi"/>
          <w:color w:val="1A171C"/>
        </w:rPr>
        <w:t>эндоцервикального</w:t>
      </w:r>
      <w:proofErr w:type="spellEnd"/>
      <w:r w:rsidRPr="00601282">
        <w:rPr>
          <w:rFonts w:cstheme="minorHAnsi"/>
          <w:color w:val="1A171C"/>
        </w:rPr>
        <w:t xml:space="preserve"> </w:t>
      </w:r>
      <w:proofErr w:type="spellStart"/>
      <w:r w:rsidRPr="00601282">
        <w:rPr>
          <w:rFonts w:cstheme="minorHAnsi"/>
          <w:color w:val="1A171C"/>
        </w:rPr>
        <w:t>кюретажа</w:t>
      </w:r>
      <w:proofErr w:type="spellEnd"/>
      <w:r w:rsidRPr="00601282">
        <w:rPr>
          <w:rFonts w:cstheme="minorHAnsi"/>
          <w:color w:val="1A171C"/>
        </w:rPr>
        <w:t xml:space="preserve">, а у одной женщины поражение было выявлено </w:t>
      </w:r>
      <w:r w:rsidRPr="00601282">
        <w:rPr>
          <w:rFonts w:cstheme="minorHAnsi"/>
          <w:color w:val="1A171C"/>
        </w:rPr>
        <w:lastRenderedPageBreak/>
        <w:t>только при изучении материала, полученного при выскабливании цервикального канала. Процентное соотношение женщин, у которых ЦИН</w:t>
      </w:r>
      <w:proofErr w:type="gramStart"/>
      <w:r w:rsidRPr="00601282">
        <w:rPr>
          <w:rFonts w:cstheme="minorHAnsi"/>
          <w:color w:val="1A171C"/>
        </w:rPr>
        <w:t>2</w:t>
      </w:r>
      <w:proofErr w:type="gramEnd"/>
      <w:r w:rsidRPr="00601282">
        <w:rPr>
          <w:rFonts w:cstheme="minorHAnsi"/>
          <w:color w:val="1A171C"/>
        </w:rPr>
        <w:t xml:space="preserve"> + была выявлена при изучении материала, полученного в ходе выскабливания цервикального канала, повышалось по мере усиления степени дисплазии: 5% из 37 женщин с ЦИН2 против 28% из 138 женщин с ЦИН3 или </w:t>
      </w:r>
      <w:proofErr w:type="spellStart"/>
      <w:r w:rsidRPr="00601282">
        <w:rPr>
          <w:rFonts w:cstheme="minorHAnsi"/>
          <w:color w:val="1A171C"/>
        </w:rPr>
        <w:t>интраэпиделиальной</w:t>
      </w:r>
      <w:proofErr w:type="spellEnd"/>
      <w:r w:rsidRPr="00601282">
        <w:rPr>
          <w:rFonts w:cstheme="minorHAnsi"/>
          <w:color w:val="1A171C"/>
        </w:rPr>
        <w:t xml:space="preserve"> </w:t>
      </w:r>
      <w:proofErr w:type="spellStart"/>
      <w:r w:rsidRPr="00601282">
        <w:rPr>
          <w:rFonts w:cstheme="minorHAnsi"/>
          <w:color w:val="1A171C"/>
        </w:rPr>
        <w:t>аденокарциномой</w:t>
      </w:r>
      <w:proofErr w:type="spellEnd"/>
      <w:r w:rsidRPr="00601282">
        <w:rPr>
          <w:rFonts w:cstheme="minorHAnsi"/>
          <w:color w:val="1A171C"/>
        </w:rPr>
        <w:t>.</w:t>
      </w:r>
      <w:r w:rsidR="00B111A1">
        <w:rPr>
          <w:rFonts w:cstheme="minorHAnsi"/>
          <w:color w:val="1A171C"/>
        </w:rPr>
        <w:t xml:space="preserve"> </w:t>
      </w:r>
      <w:r w:rsidRPr="00601282">
        <w:rPr>
          <w:rFonts w:cstheme="minorHAnsi"/>
          <w:color w:val="1A171C"/>
        </w:rPr>
        <w:t xml:space="preserve">Однако стоит отметить, что количество материала, полученного в ходе </w:t>
      </w:r>
      <w:proofErr w:type="spellStart"/>
      <w:r w:rsidRPr="00601282">
        <w:rPr>
          <w:rFonts w:cstheme="minorHAnsi"/>
          <w:color w:val="1A171C"/>
        </w:rPr>
        <w:t>эндоцервикального</w:t>
      </w:r>
      <w:proofErr w:type="spellEnd"/>
      <w:r w:rsidRPr="00601282">
        <w:rPr>
          <w:rFonts w:cstheme="minorHAnsi"/>
          <w:color w:val="1A171C"/>
        </w:rPr>
        <w:t xml:space="preserve"> </w:t>
      </w:r>
      <w:proofErr w:type="spellStart"/>
      <w:r w:rsidRPr="00601282">
        <w:rPr>
          <w:rFonts w:cstheme="minorHAnsi"/>
          <w:color w:val="1A171C"/>
        </w:rPr>
        <w:t>кюретажа</w:t>
      </w:r>
      <w:proofErr w:type="spellEnd"/>
      <w:r w:rsidRPr="00601282">
        <w:rPr>
          <w:rFonts w:cstheme="minorHAnsi"/>
          <w:color w:val="1A171C"/>
        </w:rPr>
        <w:t>, признано недостаточным в 21 % случаев.</w:t>
      </w:r>
    </w:p>
    <w:p w:rsidR="00272BEE" w:rsidRPr="00601282" w:rsidRDefault="00B111A1" w:rsidP="00601282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  <w:color w:val="1A171C"/>
        </w:rPr>
        <w:t>Связь</w:t>
      </w:r>
      <w:r w:rsidR="00272BEE" w:rsidRPr="00601282">
        <w:rPr>
          <w:rFonts w:cstheme="minorHAnsi"/>
          <w:color w:val="1A171C"/>
        </w:rPr>
        <w:t xml:space="preserve"> между гистологией и </w:t>
      </w:r>
      <w:proofErr w:type="spellStart"/>
      <w:r w:rsidR="00272BEE" w:rsidRPr="00601282">
        <w:rPr>
          <w:rFonts w:cstheme="minorHAnsi"/>
          <w:color w:val="1A171C"/>
        </w:rPr>
        <w:t>кольпоскопией</w:t>
      </w:r>
      <w:proofErr w:type="spellEnd"/>
      <w:r w:rsidR="00272BEE" w:rsidRPr="00601282">
        <w:rPr>
          <w:rFonts w:cstheme="minorHAnsi"/>
          <w:color w:val="1A171C"/>
        </w:rPr>
        <w:t xml:space="preserve"> по всей выборке испытуемых </w:t>
      </w:r>
      <w:r>
        <w:rPr>
          <w:rFonts w:cstheme="minorHAnsi"/>
          <w:color w:val="1A171C"/>
        </w:rPr>
        <w:t>позволила обнаружить</w:t>
      </w:r>
      <w:r w:rsidR="00272BEE" w:rsidRPr="00601282">
        <w:rPr>
          <w:rFonts w:cstheme="minorHAnsi"/>
          <w:color w:val="1A171C"/>
        </w:rPr>
        <w:t xml:space="preserve"> приблизительную </w:t>
      </w:r>
      <w:proofErr w:type="spellStart"/>
      <w:r w:rsidR="00272BEE" w:rsidRPr="00601282">
        <w:rPr>
          <w:rFonts w:cstheme="minorHAnsi"/>
          <w:color w:val="1A171C"/>
        </w:rPr>
        <w:t>сензитивность</w:t>
      </w:r>
      <w:proofErr w:type="spellEnd"/>
      <w:r w:rsidR="00272BEE" w:rsidRPr="00601282">
        <w:rPr>
          <w:rFonts w:cstheme="minorHAnsi"/>
          <w:color w:val="1A171C"/>
        </w:rPr>
        <w:t xml:space="preserve"> и специфичность в объёме 65-70% соответственно. Положительная и отрицательная прогностическая ценность </w:t>
      </w:r>
      <w:proofErr w:type="spellStart"/>
      <w:r w:rsidR="00272BEE" w:rsidRPr="00601282">
        <w:rPr>
          <w:rFonts w:cstheme="minorHAnsi"/>
          <w:color w:val="1A171C"/>
        </w:rPr>
        <w:t>кольпоскопии</w:t>
      </w:r>
      <w:proofErr w:type="spellEnd"/>
      <w:r w:rsidR="00272BEE" w:rsidRPr="00601282">
        <w:rPr>
          <w:rFonts w:cstheme="minorHAnsi"/>
          <w:color w:val="1A171C"/>
        </w:rPr>
        <w:t xml:space="preserve"> по способ</w:t>
      </w:r>
      <w:r>
        <w:rPr>
          <w:rFonts w:cstheme="minorHAnsi"/>
          <w:color w:val="1A171C"/>
        </w:rPr>
        <w:t>ности к выявлению ЦИН</w:t>
      </w:r>
      <w:proofErr w:type="gramStart"/>
      <w:r>
        <w:rPr>
          <w:rFonts w:cstheme="minorHAnsi"/>
          <w:color w:val="1A171C"/>
        </w:rPr>
        <w:t>2</w:t>
      </w:r>
      <w:proofErr w:type="gramEnd"/>
      <w:r>
        <w:rPr>
          <w:rFonts w:cstheme="minorHAnsi"/>
          <w:color w:val="1A171C"/>
        </w:rPr>
        <w:t xml:space="preserve"> + равна</w:t>
      </w:r>
      <w:r w:rsidR="00272BEE" w:rsidRPr="00601282">
        <w:rPr>
          <w:rFonts w:cstheme="minorHAnsi"/>
          <w:color w:val="1A171C"/>
        </w:rPr>
        <w:t xml:space="preserve"> 75% и 58% </w:t>
      </w:r>
      <w:r w:rsidRPr="00601282">
        <w:rPr>
          <w:rFonts w:cstheme="minorHAnsi"/>
          <w:color w:val="1A171C"/>
        </w:rPr>
        <w:t xml:space="preserve">соответственно </w:t>
      </w:r>
      <w:r w:rsidR="00272BEE" w:rsidRPr="00601282">
        <w:rPr>
          <w:rFonts w:cstheme="minorHAnsi"/>
          <w:color w:val="1A171C"/>
        </w:rPr>
        <w:t xml:space="preserve">(табл. 4). Специфичность оказалась ниже (64%), а </w:t>
      </w:r>
      <w:proofErr w:type="spellStart"/>
      <w:r w:rsidR="00272BEE" w:rsidRPr="00601282">
        <w:rPr>
          <w:rFonts w:cstheme="minorHAnsi"/>
          <w:color w:val="1A171C"/>
        </w:rPr>
        <w:t>сензитивность</w:t>
      </w:r>
      <w:proofErr w:type="spellEnd"/>
      <w:r w:rsidR="00272BEE" w:rsidRPr="00601282">
        <w:rPr>
          <w:rFonts w:cstheme="minorHAnsi"/>
          <w:color w:val="1A171C"/>
        </w:rPr>
        <w:t xml:space="preserve"> ненамного </w:t>
      </w:r>
      <w:r w:rsidRPr="00601282">
        <w:rPr>
          <w:rFonts w:cstheme="minorHAnsi"/>
          <w:color w:val="1A171C"/>
        </w:rPr>
        <w:t>возросла</w:t>
      </w:r>
      <w:r w:rsidR="00272BEE" w:rsidRPr="00601282">
        <w:rPr>
          <w:rFonts w:cstheme="minorHAnsi"/>
          <w:color w:val="1A171C"/>
        </w:rPr>
        <w:t xml:space="preserve"> - до 67%, когда анализ был искусственно ограничен только данными женщин с полным обзором </w:t>
      </w:r>
      <w:r w:rsidR="00272BEE" w:rsidRPr="00601282">
        <w:rPr>
          <w:rFonts w:cstheme="minorHAnsi"/>
        </w:rPr>
        <w:t>зоны перехода плоского эпителия пищевода в цилиндрический эпителий (табл. 4).</w:t>
      </w:r>
    </w:p>
    <w:p w:rsidR="00272BEE" w:rsidRDefault="00272BEE" w:rsidP="00510CF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Сосредоточившись на 297 женщинах, чьи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признаны удовлетворительными, мы выявили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у 130 из них (табл. 4). У 43 из этих женщин (33%) с </w:t>
      </w:r>
      <w:proofErr w:type="spellStart"/>
      <w:r>
        <w:rPr>
          <w:rFonts w:ascii="Calibri" w:hAnsi="Calibri" w:cs="Calibri"/>
        </w:rPr>
        <w:t>гистологически</w:t>
      </w:r>
      <w:proofErr w:type="spellEnd"/>
      <w:r>
        <w:rPr>
          <w:rFonts w:ascii="Calibri" w:hAnsi="Calibri" w:cs="Calibri"/>
        </w:rPr>
        <w:t xml:space="preserve"> подтверждённой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был отрицательный </w:t>
      </w:r>
      <w:proofErr w:type="spellStart"/>
      <w:r>
        <w:rPr>
          <w:rFonts w:ascii="Calibri" w:hAnsi="Calibri" w:cs="Calibri"/>
        </w:rPr>
        <w:t>кольпоскопический</w:t>
      </w:r>
      <w:proofErr w:type="spellEnd"/>
      <w:r>
        <w:rPr>
          <w:rFonts w:ascii="Calibri" w:hAnsi="Calibri" w:cs="Calibri"/>
        </w:rPr>
        <w:t xml:space="preserve"> результат. Среди всех женщин с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и положительными </w:t>
      </w:r>
      <w:proofErr w:type="spellStart"/>
      <w:r>
        <w:rPr>
          <w:rFonts w:ascii="Calibri" w:hAnsi="Calibri" w:cs="Calibri"/>
        </w:rPr>
        <w:t>кольпоскопическими</w:t>
      </w:r>
      <w:proofErr w:type="spellEnd"/>
      <w:r>
        <w:rPr>
          <w:rFonts w:ascii="Calibri" w:hAnsi="Calibri" w:cs="Calibri"/>
        </w:rPr>
        <w:t xml:space="preserve"> результатами у восьми (6%), ЦИН2 + удалось выявить только проведя биопсию на областях с отрицательной реакцией на тест Шиллера, тогда как у 79 </w:t>
      </w:r>
      <w:r w:rsidR="00510CF4">
        <w:rPr>
          <w:rFonts w:ascii="Calibri" w:hAnsi="Calibri" w:cs="Calibri"/>
        </w:rPr>
        <w:t>женщин с "истинно-положительным</w:t>
      </w:r>
      <w:r>
        <w:rPr>
          <w:rFonts w:ascii="Calibri" w:hAnsi="Calibri" w:cs="Calibri"/>
        </w:rPr>
        <w:t xml:space="preserve">" </w:t>
      </w:r>
      <w:r w:rsidR="00510CF4">
        <w:rPr>
          <w:rFonts w:ascii="Calibri" w:hAnsi="Calibri" w:cs="Calibri"/>
        </w:rPr>
        <w:t>результатом</w:t>
      </w:r>
      <w:r>
        <w:rPr>
          <w:rFonts w:ascii="Calibri" w:hAnsi="Calibri" w:cs="Calibri"/>
        </w:rPr>
        <w:t xml:space="preserve">, у которых дисплазия была выявлена посредством биопсии областей с положительной реакцией на пробу Шиллера (табл. </w:t>
      </w:r>
      <w:r w:rsidRPr="001D7237">
        <w:rPr>
          <w:rFonts w:ascii="Calibri" w:hAnsi="Calibri" w:cs="Calibri"/>
        </w:rPr>
        <w:t xml:space="preserve">5) </w:t>
      </w:r>
      <w:r>
        <w:rPr>
          <w:rFonts w:ascii="Calibri" w:hAnsi="Calibri" w:cs="Calibri"/>
        </w:rPr>
        <w:t>при</w:t>
      </w:r>
      <w:r w:rsidRPr="001D7237">
        <w:rPr>
          <w:rFonts w:ascii="Calibri" w:hAnsi="Calibri" w:cs="Calibri"/>
        </w:rPr>
        <w:t xml:space="preserve"> 61-</w:t>
      </w:r>
      <w:r>
        <w:rPr>
          <w:rFonts w:ascii="Calibri" w:hAnsi="Calibri" w:cs="Calibri"/>
        </w:rPr>
        <w:t>процентной</w:t>
      </w:r>
      <w:r w:rsidRPr="001D723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сензитивности</w:t>
      </w:r>
      <w:proofErr w:type="spellEnd"/>
      <w:r w:rsidRPr="001D723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части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выявления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наблюдающихся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этой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подгруппе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поражений</w:t>
      </w:r>
      <w:r w:rsidRPr="001D72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при</w:t>
      </w:r>
      <w:r w:rsidRPr="001D7237">
        <w:rPr>
          <w:rFonts w:ascii="Calibri" w:hAnsi="Calibri" w:cs="Calibri"/>
        </w:rPr>
        <w:t xml:space="preserve"> </w:t>
      </w:r>
      <w:r w:rsidRPr="00510CF4">
        <w:rPr>
          <w:rFonts w:cstheme="minorHAnsi"/>
        </w:rPr>
        <w:t>ЦИН</w:t>
      </w:r>
      <w:proofErr w:type="gramStart"/>
      <w:r w:rsidRPr="00510CF4">
        <w:rPr>
          <w:rFonts w:cstheme="minorHAnsi"/>
        </w:rPr>
        <w:t>2</w:t>
      </w:r>
      <w:proofErr w:type="gramEnd"/>
      <w:r w:rsidRPr="00510CF4">
        <w:rPr>
          <w:rFonts w:cstheme="minorHAnsi"/>
        </w:rPr>
        <w:t xml:space="preserve"> + </w:t>
      </w:r>
      <w:r w:rsidRPr="00510CF4">
        <w:rPr>
          <w:rFonts w:cstheme="minorHAnsi"/>
          <w:color w:val="1A171C"/>
        </w:rPr>
        <w:t xml:space="preserve">(95% </w:t>
      </w:r>
      <w:r w:rsidR="001D7237" w:rsidRPr="00510CF4">
        <w:rPr>
          <w:rFonts w:cstheme="minorHAnsi"/>
          <w:color w:val="1A171C"/>
        </w:rPr>
        <w:t>ДИ</w:t>
      </w:r>
      <w:r w:rsidRPr="00510CF4">
        <w:rPr>
          <w:rFonts w:cstheme="minorHAnsi"/>
          <w:color w:val="1A171C"/>
        </w:rPr>
        <w:t xml:space="preserve"> 52-69%).</w:t>
      </w:r>
      <w:r w:rsidRPr="001D7237">
        <w:rPr>
          <w:rFonts w:ascii="Courier New" w:hAnsi="Courier New" w:cs="Courier New"/>
          <w:color w:val="1A171C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Изучая подкатегории дисплазии, мы наблюдали взаимосвязь усиления проявлений положительного результата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с увеличением степени дисплазии. В самом деле, у 48% женщин с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отрицательная реакция на пробу Шиллера, по сравнению с 29% женщин с ЦИН3 и / или </w:t>
      </w:r>
      <w:proofErr w:type="spellStart"/>
      <w:r>
        <w:rPr>
          <w:rFonts w:ascii="Calibri" w:hAnsi="Calibri" w:cs="Calibri"/>
        </w:rPr>
        <w:t>аденокарциномой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situ</w:t>
      </w:r>
      <w:proofErr w:type="spellEnd"/>
      <w:r>
        <w:rPr>
          <w:rFonts w:ascii="Calibri" w:hAnsi="Calibri" w:cs="Calibri"/>
        </w:rPr>
        <w:t>. Также процент женщин с дисплазией, выявленной посредством биопсии участков, обнаруживших положительную реакцию на тест Шиллера, вырос с 45% в случае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до 65% в случае ЦИН3 и / или </w:t>
      </w:r>
      <w:proofErr w:type="spellStart"/>
      <w:r>
        <w:rPr>
          <w:rFonts w:ascii="Calibri" w:hAnsi="Calibri" w:cs="Calibri"/>
        </w:rPr>
        <w:t>интраэпиделиального</w:t>
      </w:r>
      <w:proofErr w:type="spellEnd"/>
      <w:r>
        <w:rPr>
          <w:rFonts w:ascii="Calibri" w:hAnsi="Calibri" w:cs="Calibri"/>
        </w:rPr>
        <w:t xml:space="preserve"> рака. Из 79 женщин с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+, выявленной при </w:t>
      </w:r>
      <w:proofErr w:type="spellStart"/>
      <w:r>
        <w:rPr>
          <w:rFonts w:ascii="Calibri" w:hAnsi="Calibri" w:cs="Calibri"/>
        </w:rPr>
        <w:t>кольпоскопически-положительной</w:t>
      </w:r>
      <w:proofErr w:type="spellEnd"/>
      <w:r>
        <w:rPr>
          <w:rFonts w:ascii="Calibri" w:hAnsi="Calibri" w:cs="Calibri"/>
        </w:rPr>
        <w:t xml:space="preserve"> биопсии, у 51 (65%) дисплазия также была выявлена при </w:t>
      </w:r>
      <w:proofErr w:type="spellStart"/>
      <w:r>
        <w:rPr>
          <w:rFonts w:ascii="Calibri" w:hAnsi="Calibri" w:cs="Calibri"/>
        </w:rPr>
        <w:t>кольпоскопически-отрицательной</w:t>
      </w:r>
      <w:proofErr w:type="spellEnd"/>
      <w:r>
        <w:rPr>
          <w:rFonts w:ascii="Calibri" w:hAnsi="Calibri" w:cs="Calibri"/>
        </w:rPr>
        <w:t xml:space="preserve"> биопсии.</w:t>
      </w:r>
    </w:p>
    <w:p w:rsidR="00510CF4" w:rsidRDefault="00510CF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Табл. 4: Гистологические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у всех женщин и у женщин с чётким обзором зоны перехода плоского эпителия пищевода в цилиндрический эпителий.</w:t>
      </w:r>
    </w:p>
    <w:tbl>
      <w:tblPr>
        <w:tblOverlap w:val="never"/>
        <w:tblW w:w="0" w:type="auto"/>
        <w:tblInd w:w="1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1064"/>
        <w:gridCol w:w="2042"/>
      </w:tblGrid>
      <w:tr w:rsidR="00296F66" w:rsidTr="00510CF4">
        <w:trPr>
          <w:trHeight w:val="264"/>
        </w:trPr>
        <w:tc>
          <w:tcPr>
            <w:tcW w:w="1144" w:type="dxa"/>
          </w:tcPr>
          <w:p w:rsidR="00296F66" w:rsidRPr="00296F66" w:rsidRDefault="00296F66" w:rsidP="00A902F0">
            <w:r>
              <w:rPr>
                <w:color w:val="1A171C"/>
              </w:rPr>
              <w:t>Гистология</w:t>
            </w:r>
          </w:p>
        </w:tc>
        <w:tc>
          <w:tcPr>
            <w:tcW w:w="1064" w:type="dxa"/>
          </w:tcPr>
          <w:p w:rsidR="00296F66" w:rsidRDefault="00296F66" w:rsidP="00A902F0">
            <w:pPr>
              <w:rPr>
                <w:sz w:val="10"/>
                <w:szCs w:val="10"/>
              </w:rPr>
            </w:pPr>
          </w:p>
        </w:tc>
        <w:tc>
          <w:tcPr>
            <w:tcW w:w="2042" w:type="dxa"/>
          </w:tcPr>
          <w:p w:rsidR="00296F66" w:rsidRDefault="00296F66" w:rsidP="00A902F0">
            <w:pPr>
              <w:rPr>
                <w:sz w:val="10"/>
                <w:szCs w:val="10"/>
              </w:rPr>
            </w:pPr>
          </w:p>
        </w:tc>
      </w:tr>
      <w:tr w:rsidR="00296F66" w:rsidTr="00510CF4">
        <w:trPr>
          <w:trHeight w:val="350"/>
        </w:trPr>
        <w:tc>
          <w:tcPr>
            <w:tcW w:w="1144" w:type="dxa"/>
            <w:tcBorders>
              <w:top w:val="single" w:sz="4" w:space="0" w:color="auto"/>
            </w:tcBorders>
          </w:tcPr>
          <w:p w:rsidR="00296F66" w:rsidRDefault="00296F66" w:rsidP="00A902F0">
            <w:r>
              <w:rPr>
                <w:color w:val="1A171C"/>
              </w:rPr>
              <w:t>&lt;ЦИН</w:t>
            </w:r>
            <w:proofErr w:type="gramStart"/>
            <w:r>
              <w:rPr>
                <w:color w:val="1A171C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296F66" w:rsidRDefault="00296F66" w:rsidP="00921728">
            <w:pPr>
              <w:jc w:val="right"/>
            </w:pPr>
            <w:r>
              <w:rPr>
                <w:color w:val="1A171C"/>
              </w:rPr>
              <w:t>ЦИН</w:t>
            </w:r>
            <w:proofErr w:type="gramStart"/>
            <w:r>
              <w:rPr>
                <w:color w:val="1A171C"/>
              </w:rPr>
              <w:t>2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296F66" w:rsidRPr="00921728" w:rsidRDefault="00296F66" w:rsidP="00921728">
            <w:pPr>
              <w:spacing w:after="0"/>
              <w:jc w:val="right"/>
              <w:rPr>
                <w:lang w:val="en-US"/>
              </w:rPr>
            </w:pPr>
            <w:r>
              <w:rPr>
                <w:color w:val="1A171C"/>
              </w:rPr>
              <w:t>ЦИН3/</w:t>
            </w:r>
            <w:r w:rsidR="00921728">
              <w:rPr>
                <w:color w:val="1A171C"/>
                <w:lang w:val="en-US"/>
              </w:rPr>
              <w:t>ACIS</w:t>
            </w:r>
          </w:p>
        </w:tc>
      </w:tr>
      <w:tr w:rsidR="00296F66" w:rsidTr="00510CF4">
        <w:trPr>
          <w:trHeight w:val="264"/>
        </w:trPr>
        <w:tc>
          <w:tcPr>
            <w:tcW w:w="1144" w:type="dxa"/>
            <w:tcBorders>
              <w:top w:val="single" w:sz="4" w:space="0" w:color="auto"/>
            </w:tcBorders>
          </w:tcPr>
          <w:p w:rsidR="00296F66" w:rsidRDefault="00510CF4" w:rsidP="00510CF4">
            <w:pPr>
              <w:spacing w:after="0"/>
            </w:pPr>
            <w:r>
              <w:rPr>
                <w:color w:val="1A171C"/>
                <w:lang w:val="en-US"/>
              </w:rPr>
              <w:t>n</w:t>
            </w:r>
            <w:r w:rsidR="00296F66">
              <w:rPr>
                <w:color w:val="1A171C"/>
              </w:rPr>
              <w:t xml:space="preserve"> </w:t>
            </w:r>
            <w:r>
              <w:rPr>
                <w:color w:val="1A171C"/>
                <w:lang w:val="en-US"/>
              </w:rPr>
              <w:t xml:space="preserve">               </w:t>
            </w:r>
            <w:r w:rsidR="00296F66">
              <w:rPr>
                <w:color w:val="1A171C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296F66" w:rsidRPr="00510CF4" w:rsidRDefault="00510CF4" w:rsidP="00510CF4">
            <w:pPr>
              <w:spacing w:after="0"/>
              <w:rPr>
                <w:lang w:val="en-US"/>
              </w:rPr>
            </w:pPr>
            <w:r>
              <w:rPr>
                <w:color w:val="1A171C"/>
                <w:lang w:val="en-US"/>
              </w:rPr>
              <w:t xml:space="preserve">        n</w:t>
            </w:r>
            <w:r>
              <w:rPr>
                <w:color w:val="1A171C"/>
              </w:rPr>
              <w:t xml:space="preserve"> </w:t>
            </w:r>
            <w:r>
              <w:rPr>
                <w:color w:val="1A171C"/>
                <w:lang w:val="en-US"/>
              </w:rPr>
              <w:t xml:space="preserve">     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296F66" w:rsidRDefault="00510CF4" w:rsidP="00510CF4">
            <w:pPr>
              <w:spacing w:after="0"/>
            </w:pPr>
            <w:r>
              <w:rPr>
                <w:color w:val="1A171C"/>
                <w:lang w:val="en-US"/>
              </w:rPr>
              <w:t xml:space="preserve">   %                 n</w:t>
            </w:r>
            <w:r>
              <w:rPr>
                <w:color w:val="1A171C"/>
              </w:rPr>
              <w:t xml:space="preserve"> </w:t>
            </w:r>
            <w:r>
              <w:rPr>
                <w:color w:val="1A171C"/>
                <w:lang w:val="en-US"/>
              </w:rPr>
              <w:t xml:space="preserve">          </w:t>
            </w:r>
            <w:r>
              <w:rPr>
                <w:color w:val="1A171C"/>
              </w:rPr>
              <w:t>%</w:t>
            </w:r>
          </w:p>
        </w:tc>
      </w:tr>
    </w:tbl>
    <w:p w:rsidR="00992160" w:rsidRPr="00510CF4" w:rsidRDefault="00992160" w:rsidP="0099216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1"/>
        <w:gridCol w:w="624"/>
        <w:gridCol w:w="794"/>
        <w:gridCol w:w="778"/>
        <w:gridCol w:w="215"/>
        <w:gridCol w:w="724"/>
        <w:gridCol w:w="980"/>
      </w:tblGrid>
      <w:tr w:rsidR="00296F66" w:rsidTr="00510CF4">
        <w:trPr>
          <w:trHeight w:val="283"/>
        </w:trPr>
        <w:tc>
          <w:tcPr>
            <w:tcW w:w="2561" w:type="dxa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Все женщины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</w:tr>
      <w:tr w:rsidR="00296F66" w:rsidTr="00510CF4">
        <w:trPr>
          <w:trHeight w:val="226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 xml:space="preserve">Результаты </w:t>
            </w:r>
            <w:proofErr w:type="spellStart"/>
            <w:r>
              <w:rPr>
                <w:color w:val="1A171C"/>
              </w:rPr>
              <w:t>кольпоскопии</w:t>
            </w:r>
            <w:proofErr w:type="spellEnd"/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24" w:type="dxa"/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  <w:rPr>
                <w:sz w:val="10"/>
                <w:szCs w:val="10"/>
              </w:rPr>
            </w:pPr>
          </w:p>
        </w:tc>
      </w:tr>
      <w:tr w:rsidR="00296F66" w:rsidTr="00510CF4">
        <w:trPr>
          <w:trHeight w:val="206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 xml:space="preserve">Отрицательный </w:t>
            </w:r>
            <w:r w:rsidR="00510CF4">
              <w:rPr>
                <w:color w:val="1A171C"/>
                <w:lang w:val="en-US"/>
              </w:rPr>
              <w:t xml:space="preserve">   </w:t>
            </w:r>
            <w:r>
              <w:rPr>
                <w:color w:val="1A171C"/>
              </w:rPr>
              <w:t>85</w:t>
            </w:r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70</w:t>
            </w: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19</w:t>
            </w:r>
          </w:p>
        </w:tc>
        <w:tc>
          <w:tcPr>
            <w:tcW w:w="993" w:type="dxa"/>
            <w:gridSpan w:val="2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51</w:t>
            </w:r>
          </w:p>
        </w:tc>
        <w:tc>
          <w:tcPr>
            <w:tcW w:w="7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43</w:t>
            </w: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31</w:t>
            </w:r>
          </w:p>
        </w:tc>
      </w:tr>
      <w:tr w:rsidR="00296F66" w:rsidTr="00510CF4">
        <w:trPr>
          <w:trHeight w:val="197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Положительный</w:t>
            </w:r>
            <w:r w:rsidR="00510CF4">
              <w:rPr>
                <w:color w:val="1A171C"/>
                <w:lang w:val="en-US"/>
              </w:rPr>
              <w:t xml:space="preserve">  </w:t>
            </w:r>
            <w:r>
              <w:rPr>
                <w:color w:val="1A171C"/>
              </w:rPr>
              <w:t xml:space="preserve"> 37</w:t>
            </w:r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30</w:t>
            </w: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18</w:t>
            </w:r>
          </w:p>
        </w:tc>
        <w:tc>
          <w:tcPr>
            <w:tcW w:w="993" w:type="dxa"/>
            <w:gridSpan w:val="2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49</w:t>
            </w:r>
          </w:p>
        </w:tc>
        <w:tc>
          <w:tcPr>
            <w:tcW w:w="7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95</w:t>
            </w: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69</w:t>
            </w:r>
          </w:p>
        </w:tc>
      </w:tr>
      <w:tr w:rsidR="00296F66" w:rsidTr="00510CF4">
        <w:trPr>
          <w:trHeight w:val="211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 xml:space="preserve">Общее число (%) </w:t>
            </w:r>
            <w:r w:rsidR="00510CF4">
              <w:rPr>
                <w:color w:val="1A171C"/>
                <w:lang w:val="en-US"/>
              </w:rPr>
              <w:t xml:space="preserve"> </w:t>
            </w:r>
            <w:r>
              <w:rPr>
                <w:color w:val="1A171C"/>
              </w:rPr>
              <w:t>122</w:t>
            </w:r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37</w:t>
            </w:r>
          </w:p>
        </w:tc>
        <w:tc>
          <w:tcPr>
            <w:tcW w:w="993" w:type="dxa"/>
            <w:gridSpan w:val="2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  <w:tc>
          <w:tcPr>
            <w:tcW w:w="7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138</w:t>
            </w: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</w:tr>
      <w:tr w:rsidR="00510CF4" w:rsidRPr="00296F66" w:rsidTr="00510CF4">
        <w:trPr>
          <w:trHeight w:val="221"/>
        </w:trPr>
        <w:tc>
          <w:tcPr>
            <w:tcW w:w="6676" w:type="dxa"/>
            <w:gridSpan w:val="7"/>
          </w:tcPr>
          <w:p w:rsidR="00510CF4" w:rsidRPr="00296F66" w:rsidRDefault="00510CF4" w:rsidP="00510CF4">
            <w:pPr>
              <w:spacing w:after="0"/>
              <w:rPr>
                <w:sz w:val="10"/>
                <w:szCs w:val="10"/>
              </w:rPr>
            </w:pPr>
            <w:r>
              <w:rPr>
                <w:color w:val="1A171C"/>
              </w:rPr>
              <w:t>Женщины с полным обзором зоны перехода</w:t>
            </w:r>
          </w:p>
        </w:tc>
      </w:tr>
      <w:tr w:rsidR="00510CF4" w:rsidTr="00510CF4">
        <w:trPr>
          <w:trHeight w:val="211"/>
        </w:trPr>
        <w:tc>
          <w:tcPr>
            <w:tcW w:w="2561" w:type="dxa"/>
          </w:tcPr>
          <w:p w:rsidR="00510CF4" w:rsidRDefault="00510CF4" w:rsidP="00510CF4">
            <w:pPr>
              <w:spacing w:after="0"/>
            </w:pPr>
            <w:r>
              <w:rPr>
                <w:color w:val="1A171C"/>
              </w:rPr>
              <w:t xml:space="preserve">Результаты </w:t>
            </w:r>
            <w:proofErr w:type="spellStart"/>
            <w:r>
              <w:rPr>
                <w:color w:val="1A171C"/>
              </w:rPr>
              <w:t>кольпоскопии</w:t>
            </w:r>
            <w:proofErr w:type="spellEnd"/>
          </w:p>
        </w:tc>
        <w:tc>
          <w:tcPr>
            <w:tcW w:w="624" w:type="dxa"/>
          </w:tcPr>
          <w:p w:rsidR="00510CF4" w:rsidRDefault="00510CF4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4" w:type="dxa"/>
          </w:tcPr>
          <w:p w:rsidR="00510CF4" w:rsidRDefault="00510CF4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17" w:type="dxa"/>
            <w:gridSpan w:val="3"/>
          </w:tcPr>
          <w:p w:rsidR="00510CF4" w:rsidRDefault="00510CF4" w:rsidP="00510CF4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80" w:type="dxa"/>
          </w:tcPr>
          <w:p w:rsidR="00510CF4" w:rsidRDefault="00510CF4" w:rsidP="00510CF4">
            <w:pPr>
              <w:spacing w:after="0"/>
              <w:rPr>
                <w:sz w:val="10"/>
                <w:szCs w:val="10"/>
              </w:rPr>
            </w:pPr>
          </w:p>
        </w:tc>
      </w:tr>
      <w:tr w:rsidR="00296F66" w:rsidTr="00510CF4">
        <w:trPr>
          <w:trHeight w:val="206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Отрицательный</w:t>
            </w:r>
            <w:r w:rsidR="00510CF4">
              <w:rPr>
                <w:color w:val="1A171C"/>
                <w:lang w:val="en-US"/>
              </w:rPr>
              <w:t xml:space="preserve">     </w:t>
            </w:r>
            <w:r>
              <w:rPr>
                <w:color w:val="1A171C"/>
              </w:rPr>
              <w:t xml:space="preserve"> 49</w:t>
            </w:r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64</w:t>
            </w: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13</w:t>
            </w:r>
          </w:p>
        </w:tc>
        <w:tc>
          <w:tcPr>
            <w:tcW w:w="778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48</w:t>
            </w:r>
          </w:p>
        </w:tc>
        <w:tc>
          <w:tcPr>
            <w:tcW w:w="939" w:type="dxa"/>
            <w:gridSpan w:val="2"/>
          </w:tcPr>
          <w:p w:rsidR="00296F66" w:rsidRDefault="00510CF4" w:rsidP="00510CF4">
            <w:pPr>
              <w:spacing w:after="0"/>
            </w:pPr>
            <w:r>
              <w:rPr>
                <w:color w:val="1A171C"/>
                <w:lang w:val="en-US"/>
              </w:rPr>
              <w:t xml:space="preserve">    </w:t>
            </w:r>
            <w:r w:rsidR="00296F66">
              <w:rPr>
                <w:color w:val="1A171C"/>
              </w:rPr>
              <w:t>30</w:t>
            </w: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29</w:t>
            </w:r>
          </w:p>
        </w:tc>
      </w:tr>
      <w:tr w:rsidR="00296F66" w:rsidTr="00510CF4">
        <w:trPr>
          <w:trHeight w:val="202"/>
        </w:trPr>
        <w:tc>
          <w:tcPr>
            <w:tcW w:w="2561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 xml:space="preserve">Положительный </w:t>
            </w:r>
            <w:r w:rsidR="00510CF4">
              <w:rPr>
                <w:color w:val="1A171C"/>
                <w:lang w:val="en-US"/>
              </w:rPr>
              <w:t xml:space="preserve">    </w:t>
            </w:r>
            <w:r>
              <w:rPr>
                <w:color w:val="1A171C"/>
              </w:rPr>
              <w:t>28</w:t>
            </w:r>
          </w:p>
        </w:tc>
        <w:tc>
          <w:tcPr>
            <w:tcW w:w="62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36</w:t>
            </w:r>
          </w:p>
        </w:tc>
        <w:tc>
          <w:tcPr>
            <w:tcW w:w="794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14</w:t>
            </w:r>
          </w:p>
        </w:tc>
        <w:tc>
          <w:tcPr>
            <w:tcW w:w="778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52</w:t>
            </w:r>
          </w:p>
        </w:tc>
        <w:tc>
          <w:tcPr>
            <w:tcW w:w="939" w:type="dxa"/>
            <w:gridSpan w:val="2"/>
          </w:tcPr>
          <w:p w:rsidR="00296F66" w:rsidRDefault="00510CF4" w:rsidP="00510CF4">
            <w:pPr>
              <w:spacing w:after="0"/>
            </w:pPr>
            <w:r>
              <w:rPr>
                <w:color w:val="1A171C"/>
                <w:lang w:val="en-US"/>
              </w:rPr>
              <w:t xml:space="preserve">    </w:t>
            </w:r>
            <w:r w:rsidR="00296F66">
              <w:rPr>
                <w:color w:val="1A171C"/>
              </w:rPr>
              <w:t>73</w:t>
            </w:r>
          </w:p>
        </w:tc>
        <w:tc>
          <w:tcPr>
            <w:tcW w:w="980" w:type="dxa"/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71</w:t>
            </w:r>
          </w:p>
        </w:tc>
      </w:tr>
      <w:tr w:rsidR="00296F66" w:rsidTr="00510CF4">
        <w:trPr>
          <w:trHeight w:val="298"/>
        </w:trPr>
        <w:tc>
          <w:tcPr>
            <w:tcW w:w="2561" w:type="dxa"/>
            <w:tcBorders>
              <w:bottom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Общее число</w:t>
            </w:r>
            <w:r w:rsidR="00510CF4">
              <w:rPr>
                <w:color w:val="1A171C"/>
                <w:lang w:val="en-US"/>
              </w:rPr>
              <w:t xml:space="preserve">          </w:t>
            </w:r>
            <w:r>
              <w:rPr>
                <w:color w:val="1A171C"/>
              </w:rPr>
              <w:t xml:space="preserve"> 77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27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296F66" w:rsidRDefault="00510CF4" w:rsidP="00510CF4">
            <w:pPr>
              <w:spacing w:after="0"/>
            </w:pPr>
            <w:r>
              <w:rPr>
                <w:color w:val="1A171C"/>
                <w:lang w:val="en-US"/>
              </w:rPr>
              <w:t xml:space="preserve">    </w:t>
            </w:r>
            <w:r w:rsidR="00296F66">
              <w:rPr>
                <w:color w:val="1A171C"/>
              </w:rPr>
              <w:t>103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96F66" w:rsidRDefault="00296F66" w:rsidP="00510CF4">
            <w:pPr>
              <w:spacing w:after="0"/>
            </w:pPr>
            <w:r>
              <w:rPr>
                <w:color w:val="1A171C"/>
              </w:rPr>
              <w:t>100</w:t>
            </w:r>
          </w:p>
        </w:tc>
      </w:tr>
    </w:tbl>
    <w:p w:rsidR="00296F66" w:rsidRDefault="00296F66" w:rsidP="00510CF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ЦИН </w:t>
      </w:r>
      <w:r w:rsidR="00921728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цервикальная </w:t>
      </w:r>
      <w:proofErr w:type="spellStart"/>
      <w:r>
        <w:rPr>
          <w:rFonts w:ascii="Calibri" w:hAnsi="Calibri" w:cs="Calibri"/>
        </w:rPr>
        <w:t>интраэпиделиальная</w:t>
      </w:r>
      <w:proofErr w:type="spellEnd"/>
      <w:r>
        <w:rPr>
          <w:rFonts w:ascii="Calibri" w:hAnsi="Calibri" w:cs="Calibri"/>
        </w:rPr>
        <w:t xml:space="preserve"> неоплазия; </w:t>
      </w:r>
      <w:r w:rsidR="00921728">
        <w:rPr>
          <w:rFonts w:ascii="Calibri" w:hAnsi="Calibri" w:cs="Calibri"/>
          <w:lang w:val="en-US"/>
        </w:rPr>
        <w:t>ACIS</w:t>
      </w:r>
      <w:r w:rsidR="00921728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аденокарцинома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situ</w:t>
      </w:r>
      <w:proofErr w:type="spellEnd"/>
      <w:r>
        <w:rPr>
          <w:rFonts w:ascii="Calibri" w:hAnsi="Calibri" w:cs="Calibri"/>
        </w:rPr>
        <w:t>.</w:t>
      </w:r>
    </w:p>
    <w:p w:rsidR="00272BEE" w:rsidRDefault="00272BEE" w:rsidP="009217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43 женщин с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+, с полным обзором зоны перехода плоского эпителия пищевода в цилиндрический эпителий и негативными результатами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, в среднем две из четырёх биопсий диагностировали ЦИН2 +.</w:t>
      </w:r>
    </w:p>
    <w:p w:rsidR="00272BEE" w:rsidRPr="00E841C3" w:rsidRDefault="00E841C3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E16612">
        <w:rPr>
          <w:rFonts w:ascii="Calibri" w:hAnsi="Calibri" w:cs="Calibri"/>
          <w:b/>
          <w:sz w:val="24"/>
          <w:szCs w:val="24"/>
        </w:rPr>
        <w:t>Обс</w:t>
      </w:r>
      <w:r w:rsidRPr="00E841C3">
        <w:rPr>
          <w:rFonts w:ascii="Calibri" w:hAnsi="Calibri" w:cs="Calibri"/>
          <w:b/>
          <w:sz w:val="24"/>
          <w:szCs w:val="24"/>
        </w:rPr>
        <w:t>уждение</w:t>
      </w:r>
    </w:p>
    <w:p w:rsidR="00272BEE" w:rsidRDefault="00272BEE" w:rsidP="00C610E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текущих условиях нашей клинической практики мы выявили более </w:t>
      </w:r>
      <w:r w:rsidR="00E16612">
        <w:rPr>
          <w:rFonts w:ascii="Calibri" w:hAnsi="Calibri" w:cs="Calibri"/>
        </w:rPr>
        <w:t>серьезные причины для выдачи направления</w:t>
      </w:r>
      <w:r>
        <w:rPr>
          <w:rFonts w:ascii="Calibri" w:hAnsi="Calibri" w:cs="Calibri"/>
        </w:rPr>
        <w:t xml:space="preserve"> </w:t>
      </w:r>
      <w:r w:rsidR="00E16612">
        <w:rPr>
          <w:rFonts w:ascii="Calibri" w:hAnsi="Calibri" w:cs="Calibri"/>
        </w:rPr>
        <w:t>на цитологию молодым</w:t>
      </w:r>
      <w:r>
        <w:rPr>
          <w:rFonts w:ascii="Calibri" w:hAnsi="Calibri" w:cs="Calibri"/>
        </w:rPr>
        <w:t xml:space="preserve"> женщин</w:t>
      </w:r>
      <w:r w:rsidR="00E16612">
        <w:rPr>
          <w:rFonts w:ascii="Calibri" w:hAnsi="Calibri" w:cs="Calibri"/>
        </w:rPr>
        <w:t>ам</w:t>
      </w:r>
      <w:r w:rsidR="008A6B2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Как и ожидалось, это связано с более сильными проявлениями тяжёлой дисплазии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у этих женщин. </w:t>
      </w:r>
      <w:proofErr w:type="gramStart"/>
      <w:r>
        <w:rPr>
          <w:rFonts w:ascii="Calibri" w:hAnsi="Calibri" w:cs="Calibri"/>
        </w:rPr>
        <w:t xml:space="preserve">Возможно, это отражает высокий порог для забора образцов на цитологию и направления на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 более молодых женщин, в особенности тех, которые слишком молоды для участия в </w:t>
      </w:r>
      <w:proofErr w:type="spellStart"/>
      <w:r>
        <w:rPr>
          <w:rFonts w:ascii="Calibri" w:hAnsi="Calibri" w:cs="Calibri"/>
        </w:rPr>
        <w:t>скрининговой</w:t>
      </w:r>
      <w:proofErr w:type="spellEnd"/>
      <w:r>
        <w:rPr>
          <w:rFonts w:ascii="Calibri" w:hAnsi="Calibri" w:cs="Calibri"/>
        </w:rPr>
        <w:t xml:space="preserve"> программе (в ней в Норвегии могут участвовать женщины в возрасте 25 лет и старше), в противоположность низкому порогу направления на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 у женщин в возрасте старше 50 лет с аномальной цитологией.</w:t>
      </w:r>
      <w:proofErr w:type="gramEnd"/>
      <w:r>
        <w:rPr>
          <w:rFonts w:ascii="Calibri" w:hAnsi="Calibri" w:cs="Calibri"/>
        </w:rPr>
        <w:t xml:space="preserve"> На эти различия также влияет значительно более высокий процент АГКНЗ у женщин старшего возраста.</w:t>
      </w:r>
    </w:p>
    <w:p w:rsidR="00272BEE" w:rsidRDefault="00272BEE" w:rsidP="003B7DAE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  <w:lang w:val="en-US"/>
        </w:rPr>
      </w:pPr>
      <w:r>
        <w:rPr>
          <w:rFonts w:ascii="Calibri" w:hAnsi="Calibri" w:cs="Calibri"/>
        </w:rPr>
        <w:t xml:space="preserve">Всем женщинам-испытуемым мы провели </w:t>
      </w:r>
      <w:proofErr w:type="spellStart"/>
      <w:r>
        <w:rPr>
          <w:rFonts w:ascii="Calibri" w:hAnsi="Calibri" w:cs="Calibri"/>
        </w:rPr>
        <w:t>эктоцервикальную</w:t>
      </w:r>
      <w:proofErr w:type="spellEnd"/>
      <w:r>
        <w:rPr>
          <w:rFonts w:ascii="Calibri" w:hAnsi="Calibri" w:cs="Calibri"/>
        </w:rPr>
        <w:t xml:space="preserve"> биопсию каждого из четырёх квадрантов шейки матки и взяли образцы ткани посредством выскабливания цервикального канала. По мере увеличения степени дисплазии, её проявления становились более заметны</w:t>
      </w:r>
      <w:r w:rsidR="003B7DAE">
        <w:rPr>
          <w:rFonts w:ascii="Calibri" w:hAnsi="Calibri" w:cs="Calibri"/>
        </w:rPr>
        <w:t>ми</w:t>
      </w:r>
      <w:r>
        <w:rPr>
          <w:rFonts w:ascii="Calibri" w:hAnsi="Calibri" w:cs="Calibri"/>
        </w:rPr>
        <w:t xml:space="preserve"> как на биопсии, так и на материале, полученном в ходе </w:t>
      </w:r>
      <w:proofErr w:type="spellStart"/>
      <w:r>
        <w:rPr>
          <w:rFonts w:ascii="Calibri" w:hAnsi="Calibri" w:cs="Calibri"/>
        </w:rPr>
        <w:t>эндоцервикального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кюретажа</w:t>
      </w:r>
      <w:proofErr w:type="spellEnd"/>
      <w:r>
        <w:rPr>
          <w:rFonts w:ascii="Calibri" w:hAnsi="Calibri" w:cs="Calibri"/>
        </w:rPr>
        <w:t xml:space="preserve">, тогда как при проведении одного лишь </w:t>
      </w:r>
      <w:proofErr w:type="spellStart"/>
      <w:r>
        <w:rPr>
          <w:rFonts w:ascii="Calibri" w:hAnsi="Calibri" w:cs="Calibri"/>
        </w:rPr>
        <w:t>эндоцервикального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кюретажа</w:t>
      </w:r>
      <w:proofErr w:type="spellEnd"/>
      <w:r>
        <w:rPr>
          <w:rFonts w:ascii="Calibri" w:hAnsi="Calibri" w:cs="Calibri"/>
        </w:rPr>
        <w:t xml:space="preserve"> дисплазия была выявлена только в одном случае. У этой женщины была ЦИН 3. Возраст испытуемой составлял 53 года. Она была в </w:t>
      </w:r>
      <w:proofErr w:type="spellStart"/>
      <w:r>
        <w:rPr>
          <w:rFonts w:ascii="Calibri" w:hAnsi="Calibri" w:cs="Calibri"/>
        </w:rPr>
        <w:t>постменопаузальной</w:t>
      </w:r>
      <w:proofErr w:type="spellEnd"/>
      <w:r>
        <w:rPr>
          <w:rFonts w:ascii="Calibri" w:hAnsi="Calibri" w:cs="Calibri"/>
        </w:rPr>
        <w:t xml:space="preserve"> стадии, а зона трансформации у неё была видна лишь частично. Данный результат согласуется с результатами предыдущих исследований, что приводит к дискуссии относительно необходимости выполнять </w:t>
      </w:r>
      <w:proofErr w:type="spellStart"/>
      <w:r>
        <w:rPr>
          <w:rFonts w:ascii="Calibri" w:hAnsi="Calibri" w:cs="Calibri"/>
        </w:rPr>
        <w:t>эндоцервикальный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кюретаж</w:t>
      </w:r>
      <w:proofErr w:type="spellEnd"/>
      <w:r>
        <w:rPr>
          <w:rFonts w:ascii="Calibri" w:hAnsi="Calibri" w:cs="Calibri"/>
        </w:rPr>
        <w:t xml:space="preserve"> только женщинам, у которых </w:t>
      </w:r>
      <w:r w:rsidRPr="003B7DAE">
        <w:rPr>
          <w:rFonts w:cstheme="minorHAnsi"/>
        </w:rPr>
        <w:lastRenderedPageBreak/>
        <w:t xml:space="preserve">не видна зона трансформации </w:t>
      </w:r>
      <w:r w:rsidR="003B7DAE" w:rsidRPr="003B7DAE">
        <w:rPr>
          <w:rFonts w:cstheme="minorHAnsi"/>
          <w:color w:val="1A171C"/>
        </w:rPr>
        <w:t>(5,8,9,15). Однако</w:t>
      </w:r>
      <w:r w:rsidRPr="003B7DAE">
        <w:rPr>
          <w:rFonts w:cstheme="minorHAnsi"/>
          <w:color w:val="1A171C"/>
        </w:rPr>
        <w:t xml:space="preserve"> </w:t>
      </w:r>
      <w:proofErr w:type="gramStart"/>
      <w:r w:rsidRPr="003B7DAE">
        <w:rPr>
          <w:rFonts w:cstheme="minorHAnsi"/>
          <w:color w:val="1A171C"/>
        </w:rPr>
        <w:t>авторы</w:t>
      </w:r>
      <w:proofErr w:type="gramEnd"/>
      <w:r w:rsidRPr="003B7DAE">
        <w:rPr>
          <w:rFonts w:cstheme="minorHAnsi"/>
          <w:color w:val="1A171C"/>
        </w:rPr>
        <w:t xml:space="preserve"> по меньшей мере двух исследований рекомендуют </w:t>
      </w:r>
      <w:proofErr w:type="spellStart"/>
      <w:r w:rsidRPr="003B7DAE">
        <w:rPr>
          <w:rFonts w:cstheme="minorHAnsi"/>
          <w:color w:val="1A171C"/>
        </w:rPr>
        <w:t>эндоцервикальный</w:t>
      </w:r>
      <w:proofErr w:type="spellEnd"/>
      <w:r w:rsidRPr="003B7DAE">
        <w:rPr>
          <w:rFonts w:cstheme="minorHAnsi"/>
          <w:color w:val="1A171C"/>
        </w:rPr>
        <w:t xml:space="preserve"> </w:t>
      </w:r>
      <w:proofErr w:type="spellStart"/>
      <w:r w:rsidRPr="003B7DAE">
        <w:rPr>
          <w:rFonts w:cstheme="minorHAnsi"/>
          <w:color w:val="1A171C"/>
        </w:rPr>
        <w:t>кюретаж</w:t>
      </w:r>
      <w:proofErr w:type="spellEnd"/>
      <w:r w:rsidRPr="003B7DAE">
        <w:rPr>
          <w:rFonts w:cstheme="minorHAnsi"/>
          <w:color w:val="1A171C"/>
        </w:rPr>
        <w:t xml:space="preserve"> всем женщинам старше 25 лет (7, 15). Мы высказываем мнение по этому поводу с большой осторожностью, так как количественных данных недостаточно, а процент некачественных </w:t>
      </w:r>
      <w:proofErr w:type="spellStart"/>
      <w:r w:rsidRPr="003B7DAE">
        <w:rPr>
          <w:rFonts w:cstheme="minorHAnsi"/>
          <w:color w:val="1A171C"/>
        </w:rPr>
        <w:t>эндоцервикальных</w:t>
      </w:r>
      <w:proofErr w:type="spellEnd"/>
      <w:r w:rsidRPr="003B7DAE">
        <w:rPr>
          <w:rFonts w:cstheme="minorHAnsi"/>
          <w:color w:val="1A171C"/>
        </w:rPr>
        <w:t xml:space="preserve"> образцов высок.</w:t>
      </w:r>
    </w:p>
    <w:p w:rsidR="003B7DAE" w:rsidRPr="003B7DAE" w:rsidRDefault="003B7DAE" w:rsidP="003B7DAE">
      <w:pPr>
        <w:widowControl w:val="0"/>
        <w:autoSpaceDE w:val="0"/>
        <w:autoSpaceDN w:val="0"/>
        <w:adjustRightInd w:val="0"/>
        <w:rPr>
          <w:rFonts w:cstheme="minorHAnsi"/>
        </w:rPr>
      </w:pPr>
      <w:r w:rsidRPr="003B7DAE">
        <w:rPr>
          <w:rFonts w:cstheme="minorHAnsi"/>
          <w:color w:val="1A171C"/>
        </w:rPr>
        <w:t xml:space="preserve">Табл. 5: Распространённость диагностической биопсии согласно результатам </w:t>
      </w:r>
      <w:proofErr w:type="spellStart"/>
      <w:r w:rsidRPr="003B7DAE">
        <w:rPr>
          <w:rFonts w:cstheme="minorHAnsi"/>
          <w:color w:val="1A171C"/>
        </w:rPr>
        <w:t>кольпоскопии</w:t>
      </w:r>
      <w:proofErr w:type="spellEnd"/>
      <w:r w:rsidRPr="003B7DAE">
        <w:rPr>
          <w:rFonts w:cstheme="minorHAnsi"/>
          <w:color w:val="1A171C"/>
        </w:rPr>
        <w:t xml:space="preserve"> среди женщин с </w:t>
      </w:r>
      <w:proofErr w:type="spellStart"/>
      <w:r w:rsidRPr="003B7DAE">
        <w:rPr>
          <w:rFonts w:cstheme="minorHAnsi"/>
          <w:color w:val="1A171C"/>
        </w:rPr>
        <w:t>гистологически</w:t>
      </w:r>
      <w:proofErr w:type="spellEnd"/>
      <w:r w:rsidRPr="003B7DAE">
        <w:rPr>
          <w:rFonts w:cstheme="minorHAnsi"/>
          <w:color w:val="1A171C"/>
        </w:rPr>
        <w:t xml:space="preserve"> подтверждённой дисплазией высокой степени и полным обзором зоны перехода </w:t>
      </w:r>
      <w:r w:rsidRPr="003B7DAE">
        <w:rPr>
          <w:rFonts w:cstheme="minorHAnsi"/>
        </w:rPr>
        <w:t>плоского эпителия пищевода в цилиндрический эпителий (Н=130).</w:t>
      </w:r>
    </w:p>
    <w:tbl>
      <w:tblPr>
        <w:tblStyle w:val="a3"/>
        <w:tblW w:w="7732" w:type="dxa"/>
        <w:tblLayout w:type="fixed"/>
        <w:tblLook w:val="04A0"/>
      </w:tblPr>
      <w:tblGrid>
        <w:gridCol w:w="3510"/>
        <w:gridCol w:w="709"/>
        <w:gridCol w:w="709"/>
        <w:gridCol w:w="701"/>
        <w:gridCol w:w="701"/>
        <w:gridCol w:w="701"/>
        <w:gridCol w:w="701"/>
      </w:tblGrid>
      <w:tr w:rsidR="003B7DAE" w:rsidRPr="003B7DAE" w:rsidTr="00233FC2">
        <w:tc>
          <w:tcPr>
            <w:tcW w:w="3510" w:type="dxa"/>
            <w:vMerge w:val="restart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</w:p>
        </w:tc>
        <w:tc>
          <w:tcPr>
            <w:tcW w:w="4222" w:type="dxa"/>
            <w:gridSpan w:val="6"/>
          </w:tcPr>
          <w:p w:rsidR="003B7DAE" w:rsidRPr="003B7DAE" w:rsidRDefault="003B7DAE" w:rsidP="003B7D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Гистология</w:t>
            </w:r>
          </w:p>
        </w:tc>
      </w:tr>
      <w:tr w:rsidR="003B7DAE" w:rsidRPr="003B7DAE" w:rsidTr="00233FC2">
        <w:tc>
          <w:tcPr>
            <w:tcW w:w="3510" w:type="dxa"/>
            <w:vMerge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B7DAE" w:rsidRPr="003B7DAE" w:rsidRDefault="003B7DAE" w:rsidP="003B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71C"/>
                <w:sz w:val="24"/>
                <w:szCs w:val="24"/>
              </w:rPr>
            </w:pPr>
            <w:r w:rsidRPr="003B7DAE">
              <w:rPr>
                <w:rFonts w:cstheme="minorHAnsi"/>
              </w:rPr>
              <w:t>ЦИН</w:t>
            </w:r>
            <w:proofErr w:type="gramStart"/>
            <w:r w:rsidRPr="003B7DAE">
              <w:rPr>
                <w:rFonts w:cstheme="minorHAnsi"/>
              </w:rPr>
              <w:t>2</w:t>
            </w:r>
            <w:proofErr w:type="gramEnd"/>
          </w:p>
        </w:tc>
        <w:tc>
          <w:tcPr>
            <w:tcW w:w="1402" w:type="dxa"/>
            <w:gridSpan w:val="2"/>
          </w:tcPr>
          <w:p w:rsidR="003B7DAE" w:rsidRPr="003B7DAE" w:rsidRDefault="003B7DAE" w:rsidP="003B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3B7DAE">
              <w:rPr>
                <w:rFonts w:cstheme="minorHAnsi"/>
              </w:rPr>
              <w:t xml:space="preserve">ЦИН3/ </w:t>
            </w:r>
            <w:r>
              <w:rPr>
                <w:rFonts w:cstheme="minorHAnsi"/>
                <w:lang w:val="en-US"/>
              </w:rPr>
              <w:t>ACIS</w:t>
            </w:r>
          </w:p>
        </w:tc>
        <w:tc>
          <w:tcPr>
            <w:tcW w:w="1402" w:type="dxa"/>
            <w:gridSpan w:val="2"/>
          </w:tcPr>
          <w:p w:rsidR="003B7DAE" w:rsidRPr="003B7DAE" w:rsidRDefault="003B7DAE" w:rsidP="003B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B7DAE">
              <w:rPr>
                <w:rFonts w:cstheme="minorHAnsi"/>
              </w:rPr>
              <w:t>ЦИН</w:t>
            </w:r>
            <w:proofErr w:type="gramStart"/>
            <w:r w:rsidRPr="003B7DAE">
              <w:rPr>
                <w:rFonts w:cstheme="minorHAnsi"/>
              </w:rPr>
              <w:t>2</w:t>
            </w:r>
            <w:proofErr w:type="gramEnd"/>
            <w:r w:rsidRPr="003B7DAE">
              <w:rPr>
                <w:rFonts w:cstheme="minorHAnsi"/>
              </w:rPr>
              <w:t xml:space="preserve"> +</w:t>
            </w:r>
          </w:p>
        </w:tc>
      </w:tr>
      <w:tr w:rsidR="00233FC2" w:rsidRPr="003B7DAE" w:rsidTr="00233FC2">
        <w:tc>
          <w:tcPr>
            <w:tcW w:w="3510" w:type="dxa"/>
            <w:vMerge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%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n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%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n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%</w:t>
            </w:r>
          </w:p>
        </w:tc>
      </w:tr>
      <w:tr w:rsidR="003B7DAE" w:rsidRPr="003B7DAE" w:rsidTr="00233FC2">
        <w:tc>
          <w:tcPr>
            <w:tcW w:w="7732" w:type="dxa"/>
            <w:gridSpan w:val="7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Источник диагностической биопсии</w:t>
            </w:r>
          </w:p>
        </w:tc>
      </w:tr>
      <w:tr w:rsidR="00233FC2" w:rsidRPr="003B7DAE" w:rsidTr="00233FC2">
        <w:tc>
          <w:tcPr>
            <w:tcW w:w="3510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Женщины, получившие отрицательную</w:t>
            </w:r>
            <w:r w:rsidRPr="003B7D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реакцию на пробу Шиллера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48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30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29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43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33</w:t>
            </w:r>
          </w:p>
        </w:tc>
      </w:tr>
      <w:tr w:rsidR="003B7DAE" w:rsidRPr="003B7DAE" w:rsidTr="00233FC2">
        <w:tc>
          <w:tcPr>
            <w:tcW w:w="7732" w:type="dxa"/>
            <w:gridSpan w:val="7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Женщины, получившие положительную реакцию на пробу Шиллера</w:t>
            </w:r>
          </w:p>
        </w:tc>
      </w:tr>
      <w:tr w:rsidR="00233FC2" w:rsidRPr="003B7DAE" w:rsidTr="00233FC2">
        <w:tc>
          <w:tcPr>
            <w:tcW w:w="3510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Биопсия вне поражённой области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7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8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</w:t>
            </w:r>
          </w:p>
        </w:tc>
      </w:tr>
      <w:tr w:rsidR="00233FC2" w:rsidRPr="003B7DAE" w:rsidTr="00233FC2">
        <w:tc>
          <w:tcPr>
            <w:tcW w:w="3510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Биопсия внутри поражённой области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45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67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65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79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61</w:t>
            </w:r>
          </w:p>
        </w:tc>
      </w:tr>
      <w:tr w:rsidR="00233FC2" w:rsidRPr="003B7DAE" w:rsidTr="00233FC2">
        <w:tc>
          <w:tcPr>
            <w:tcW w:w="3510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Общее число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1" w:type="dxa"/>
          </w:tcPr>
          <w:p w:rsidR="003B7DAE" w:rsidRPr="003B7DAE" w:rsidRDefault="003B7DAE" w:rsidP="00272BE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71C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71C"/>
                <w:sz w:val="24"/>
                <w:szCs w:val="24"/>
                <w:lang w:val="en-US"/>
              </w:rPr>
              <w:t>100</w:t>
            </w:r>
          </w:p>
        </w:tc>
      </w:tr>
    </w:tbl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ЦИН - цервикальная </w:t>
      </w:r>
      <w:proofErr w:type="spellStart"/>
      <w:r>
        <w:rPr>
          <w:rFonts w:ascii="Calibri" w:hAnsi="Calibri" w:cs="Calibri"/>
        </w:rPr>
        <w:t>интраэпителиальная</w:t>
      </w:r>
      <w:proofErr w:type="spellEnd"/>
      <w:r>
        <w:rPr>
          <w:rFonts w:ascii="Calibri" w:hAnsi="Calibri" w:cs="Calibri"/>
        </w:rPr>
        <w:t xml:space="preserve"> неоплазия; </w:t>
      </w:r>
      <w:r w:rsidR="003B7DAE">
        <w:rPr>
          <w:rFonts w:cstheme="minorHAnsi"/>
          <w:lang w:val="en-US"/>
        </w:rPr>
        <w:t>ACIS</w:t>
      </w:r>
      <w:r w:rsidR="003B7DAE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аденокарцинома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situ</w:t>
      </w:r>
      <w:proofErr w:type="spellEnd"/>
      <w:r>
        <w:rPr>
          <w:rFonts w:ascii="Calibri" w:hAnsi="Calibri" w:cs="Calibri"/>
        </w:rPr>
        <w:t>.</w:t>
      </w:r>
    </w:p>
    <w:p w:rsidR="00272BEE" w:rsidRDefault="00272BEE" w:rsidP="00B36A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Процент женщин с чётким обзором зоны перехода плоского эпителия пищевода в цилиндрический эпителий с возрастом снижался, что было ожидаемо. У 150 из 297 женщин, принявших участие в нашем исследовании, положительные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. Как и ожидалось, у всех них была полностью или частично видна зона перехода плоского эпителия пищевода в цилиндрический эпителий. Только у двух женщин (6%) с невидимой зоной перехода плоского эпителия пищевода в цилиндрический эпителий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дала положительный результат. С практической точки зрения и в свете относительной </w:t>
      </w:r>
      <w:proofErr w:type="spellStart"/>
      <w:r>
        <w:rPr>
          <w:rFonts w:ascii="Calibri" w:hAnsi="Calibri" w:cs="Calibri"/>
        </w:rPr>
        <w:t>несензитивности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даже в оптимальных условиях, мы можем утверждать, что интерпретации и выводы не должны основываться на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женщин, у которых зона перехода плоского эпителия пищевода в цилиндрический эпителий не просматривается.</w:t>
      </w:r>
    </w:p>
    <w:p w:rsidR="00272BEE" w:rsidRPr="00953A71" w:rsidRDefault="00272BEE" w:rsidP="00B36AD5">
      <w:pPr>
        <w:widowControl w:val="0"/>
        <w:autoSpaceDE w:val="0"/>
        <w:autoSpaceDN w:val="0"/>
        <w:adjustRightInd w:val="0"/>
        <w:jc w:val="both"/>
        <w:rPr>
          <w:rFonts w:cstheme="minorHAnsi"/>
          <w:color w:val="1A171C"/>
        </w:rPr>
      </w:pPr>
      <w:r>
        <w:rPr>
          <w:rFonts w:ascii="Calibri" w:hAnsi="Calibri" w:cs="Calibri"/>
        </w:rPr>
        <w:t>В подгруппе женщин с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и чётким обзором зоны перехода плоского эпителия пищевода в цилиндрический эпителий </w:t>
      </w:r>
      <w:proofErr w:type="spellStart"/>
      <w:r>
        <w:rPr>
          <w:rFonts w:ascii="Calibri" w:hAnsi="Calibri" w:cs="Calibri"/>
        </w:rPr>
        <w:t>сензитивность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составляла 67%, что схоже с данными предыдущих исследований </w:t>
      </w:r>
      <w:r w:rsidRPr="00953A71">
        <w:rPr>
          <w:rFonts w:cstheme="minorHAnsi"/>
          <w:color w:val="1A171C"/>
        </w:rPr>
        <w:t xml:space="preserve">(4,7,9,16). Хотя мы и наблюдали большую </w:t>
      </w:r>
      <w:proofErr w:type="spellStart"/>
      <w:r w:rsidRPr="00953A71">
        <w:rPr>
          <w:rFonts w:cstheme="minorHAnsi"/>
          <w:color w:val="1A171C"/>
        </w:rPr>
        <w:t>сензитивность</w:t>
      </w:r>
      <w:proofErr w:type="spellEnd"/>
      <w:r w:rsidRPr="00953A71">
        <w:rPr>
          <w:rFonts w:cstheme="minorHAnsi"/>
          <w:color w:val="1A171C"/>
        </w:rPr>
        <w:t xml:space="preserve"> </w:t>
      </w:r>
      <w:proofErr w:type="spellStart"/>
      <w:r w:rsidRPr="00953A71">
        <w:rPr>
          <w:rFonts w:cstheme="minorHAnsi"/>
          <w:color w:val="1A171C"/>
        </w:rPr>
        <w:t>кольпоскопии</w:t>
      </w:r>
      <w:proofErr w:type="spellEnd"/>
      <w:r w:rsidRPr="00953A71">
        <w:rPr>
          <w:rFonts w:cstheme="minorHAnsi"/>
          <w:color w:val="1A171C"/>
        </w:rPr>
        <w:t xml:space="preserve"> при выявлении ЦИН</w:t>
      </w:r>
      <w:proofErr w:type="gramStart"/>
      <w:r w:rsidRPr="00953A71">
        <w:rPr>
          <w:rFonts w:cstheme="minorHAnsi"/>
          <w:color w:val="1A171C"/>
        </w:rPr>
        <w:t>2</w:t>
      </w:r>
      <w:proofErr w:type="gramEnd"/>
      <w:r w:rsidRPr="00953A71">
        <w:rPr>
          <w:rFonts w:cstheme="minorHAnsi"/>
          <w:color w:val="1A171C"/>
        </w:rPr>
        <w:t xml:space="preserve"> + у женщин с удовлетворительной </w:t>
      </w:r>
      <w:proofErr w:type="spellStart"/>
      <w:r w:rsidRPr="00953A71">
        <w:rPr>
          <w:rFonts w:cstheme="minorHAnsi"/>
          <w:color w:val="1A171C"/>
        </w:rPr>
        <w:t>кольпоскопией</w:t>
      </w:r>
      <w:proofErr w:type="spellEnd"/>
      <w:r w:rsidRPr="00953A71">
        <w:rPr>
          <w:rFonts w:cstheme="minorHAnsi"/>
          <w:color w:val="1A171C"/>
        </w:rPr>
        <w:t xml:space="preserve">, это не относилось к показателю специфичности. Он в этой подгруппе был ниже (64%), чем по всей выборке испытуемых (70%). Следовательно, применение принципа "увидел и вылечил", основанного лишь на результатах </w:t>
      </w:r>
      <w:proofErr w:type="spellStart"/>
      <w:r w:rsidRPr="00953A71">
        <w:rPr>
          <w:rFonts w:cstheme="minorHAnsi"/>
          <w:color w:val="1A171C"/>
        </w:rPr>
        <w:t>кольпоскопии</w:t>
      </w:r>
      <w:proofErr w:type="spellEnd"/>
      <w:r w:rsidRPr="00953A71">
        <w:rPr>
          <w:rFonts w:cstheme="minorHAnsi"/>
          <w:color w:val="1A171C"/>
        </w:rPr>
        <w:t>, привело бы к существенной избыточности или серьёзному недостатку лечебных мер.</w:t>
      </w:r>
    </w:p>
    <w:p w:rsidR="00272BEE" w:rsidRDefault="00272BEE" w:rsidP="00953A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Из-за характерной проблемы, связанной со сниженной </w:t>
      </w:r>
      <w:proofErr w:type="spellStart"/>
      <w:r>
        <w:rPr>
          <w:rFonts w:ascii="Calibri" w:hAnsi="Calibri" w:cs="Calibri"/>
        </w:rPr>
        <w:t>сензитивностью</w:t>
      </w:r>
      <w:proofErr w:type="spellEnd"/>
      <w:r>
        <w:rPr>
          <w:rFonts w:ascii="Calibri" w:hAnsi="Calibri" w:cs="Calibri"/>
        </w:rPr>
        <w:t>, в нескольких исследованиях оценка диагностической ценности дополнительных биопсий призвана компенсировать данную проблему.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Преториус</w:t>
      </w:r>
      <w:proofErr w:type="spellEnd"/>
      <w:r>
        <w:rPr>
          <w:rFonts w:ascii="Calibri" w:hAnsi="Calibri" w:cs="Calibri"/>
        </w:rPr>
        <w:t xml:space="preserve"> с коллегами сообщает об увеличении выявленных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на 37,4% за счёт проведения биопсии как на квадрантах с отрицательной, так и на квадрантах с положительной </w:t>
      </w:r>
      <w:r>
        <w:rPr>
          <w:rFonts w:ascii="Calibri" w:hAnsi="Calibri" w:cs="Calibri"/>
        </w:rPr>
        <w:lastRenderedPageBreak/>
        <w:t xml:space="preserve">реакцией на тест Шиллера (7). </w:t>
      </w:r>
      <w:r w:rsidR="00953A71" w:rsidRPr="00953A71">
        <w:rPr>
          <w:rFonts w:ascii="Calibri" w:hAnsi="Calibri" w:cs="Calibri"/>
        </w:rPr>
        <w:t>Нами были полу</w:t>
      </w:r>
      <w:r w:rsidR="00953A71">
        <w:rPr>
          <w:rFonts w:ascii="Calibri" w:hAnsi="Calibri" w:cs="Calibri"/>
        </w:rPr>
        <w:t>чены</w:t>
      </w:r>
      <w:r>
        <w:rPr>
          <w:rFonts w:ascii="Calibri" w:hAnsi="Calibri" w:cs="Calibri"/>
        </w:rPr>
        <w:t xml:space="preserve"> похожие результаты для женщин с удовлетворительной </w:t>
      </w:r>
      <w:proofErr w:type="spellStart"/>
      <w:r>
        <w:rPr>
          <w:rFonts w:ascii="Calibri" w:hAnsi="Calibri" w:cs="Calibri"/>
        </w:rPr>
        <w:t>кольпоскопией</w:t>
      </w:r>
      <w:proofErr w:type="spellEnd"/>
      <w:r>
        <w:rPr>
          <w:rFonts w:ascii="Calibri" w:hAnsi="Calibri" w:cs="Calibri"/>
        </w:rPr>
        <w:t>, так как мы выявили дополнительно 39%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в квадрантах с отрицательным </w:t>
      </w:r>
      <w:proofErr w:type="spellStart"/>
      <w:r>
        <w:rPr>
          <w:rFonts w:ascii="Calibri" w:hAnsi="Calibri" w:cs="Calibri"/>
        </w:rPr>
        <w:t>кольпоскопическим</w:t>
      </w:r>
      <w:proofErr w:type="spellEnd"/>
      <w:r>
        <w:rPr>
          <w:rFonts w:ascii="Calibri" w:hAnsi="Calibri" w:cs="Calibri"/>
        </w:rPr>
        <w:t xml:space="preserve"> результатом. </w:t>
      </w:r>
      <w:proofErr w:type="spellStart"/>
      <w:r>
        <w:rPr>
          <w:rFonts w:ascii="Calibri" w:hAnsi="Calibri" w:cs="Calibri"/>
        </w:rPr>
        <w:t>Преториус</w:t>
      </w:r>
      <w:proofErr w:type="spellEnd"/>
      <w:r>
        <w:rPr>
          <w:rFonts w:ascii="Calibri" w:hAnsi="Calibri" w:cs="Calibri"/>
        </w:rPr>
        <w:t xml:space="preserve"> и коллеги не уточняли </w:t>
      </w:r>
      <w:proofErr w:type="spellStart"/>
      <w:r>
        <w:rPr>
          <w:rFonts w:ascii="Calibri" w:hAnsi="Calibri" w:cs="Calibri"/>
        </w:rPr>
        <w:t>кольпоскопический</w:t>
      </w:r>
      <w:proofErr w:type="spellEnd"/>
      <w:r>
        <w:rPr>
          <w:rFonts w:ascii="Calibri" w:hAnsi="Calibri" w:cs="Calibri"/>
        </w:rPr>
        <w:t xml:space="preserve"> статус женщин, участвовавших в исследовании. Они не указывали, скольким женщинам была сделана биопсия на основании отрицательной реакции на тест Шиллера.</w:t>
      </w:r>
      <w:r w:rsidR="00953A7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Наши данные свидетельствуют о том, что большая часть выявленных в ходе биопсии в областях отрицательной пробы Шиллера случаев дисплазии имеет место у женщин с отрицательными результатами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, </w:t>
      </w:r>
      <w:r w:rsidR="00953A71">
        <w:rPr>
          <w:rFonts w:ascii="Calibri" w:hAnsi="Calibri" w:cs="Calibri"/>
        </w:rPr>
        <w:t>но значительное меньшинство (6%</w:t>
      </w:r>
      <w:r>
        <w:rPr>
          <w:rFonts w:ascii="Calibri" w:hAnsi="Calibri" w:cs="Calibri"/>
        </w:rPr>
        <w:t xml:space="preserve"> с ЦИН3 / </w:t>
      </w:r>
      <w:r w:rsidR="00953A71">
        <w:rPr>
          <w:rFonts w:ascii="Calibri" w:hAnsi="Calibri" w:cs="Calibri"/>
        </w:rPr>
        <w:t>ACIS</w:t>
      </w:r>
      <w:r>
        <w:rPr>
          <w:rFonts w:ascii="Calibri" w:hAnsi="Calibri" w:cs="Calibri"/>
        </w:rPr>
        <w:t xml:space="preserve">) случаев было выявлено у женщин с положительными результатами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в ходе биопсии областей с отрицательной реакцией на тест Шиллера.</w:t>
      </w:r>
      <w:proofErr w:type="gramEnd"/>
      <w:r>
        <w:rPr>
          <w:rFonts w:ascii="Calibri" w:hAnsi="Calibri" w:cs="Calibri"/>
        </w:rPr>
        <w:t xml:space="preserve"> В Афинском клиническом исследовании одна процедура биопсии при отрицательной реакции на пробу Шиллера, проведённая женщинам с отрицательным результатом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, помогла выявить 21%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(11). Для сравнения: мы выявили 39%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у женщин с отрицательным </w:t>
      </w:r>
      <w:proofErr w:type="spellStart"/>
      <w:r>
        <w:rPr>
          <w:rFonts w:ascii="Calibri" w:hAnsi="Calibri" w:cs="Calibri"/>
        </w:rPr>
        <w:t>кольпоскопическим</w:t>
      </w:r>
      <w:proofErr w:type="spellEnd"/>
      <w:r>
        <w:rPr>
          <w:rFonts w:ascii="Calibri" w:hAnsi="Calibri" w:cs="Calibri"/>
        </w:rPr>
        <w:t xml:space="preserve"> результатом. Возможно, объяснение более высокого процента выявленных нами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 состоит в том, что мы делали всем женщинам, принимавшим участие в исследовании, включая тех, у кого был отрицательный результат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, 4 биопсии - по одной на каждый квадрант.</w:t>
      </w:r>
    </w:p>
    <w:p w:rsidR="00272BEE" w:rsidRDefault="00272BEE" w:rsidP="006677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двух исследованиях сообщается о значительном диагностическом преимуществе выполнения большего количества биопсий на </w:t>
      </w:r>
      <w:proofErr w:type="spellStart"/>
      <w:r>
        <w:rPr>
          <w:rFonts w:ascii="Calibri" w:hAnsi="Calibri" w:cs="Calibri"/>
        </w:rPr>
        <w:t>вагиноскопических</w:t>
      </w:r>
      <w:proofErr w:type="spellEnd"/>
      <w:r>
        <w:rPr>
          <w:rFonts w:ascii="Calibri" w:hAnsi="Calibri" w:cs="Calibri"/>
        </w:rPr>
        <w:t xml:space="preserve"> поражениях, тогда как процедуры биопсии, выполненные на случайных областях вне зон поражений, принесли лишь незначительную диагностическую пользу (8,9). </w:t>
      </w:r>
      <w:proofErr w:type="gramStart"/>
      <w:r>
        <w:rPr>
          <w:rFonts w:ascii="Calibri" w:hAnsi="Calibri" w:cs="Calibri"/>
        </w:rPr>
        <w:t xml:space="preserve">В обоих исследованиях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была признана удовлетворительной, а заборы</w:t>
      </w:r>
      <w:r w:rsidR="00667783">
        <w:rPr>
          <w:rFonts w:ascii="Calibri" w:hAnsi="Calibri" w:cs="Calibri"/>
        </w:rPr>
        <w:t xml:space="preserve"> проб</w:t>
      </w:r>
      <w:r>
        <w:rPr>
          <w:rFonts w:ascii="Calibri" w:hAnsi="Calibri" w:cs="Calibri"/>
        </w:rPr>
        <w:t xml:space="preserve"> для биопсии делались как в наиболее, так и в наименее поражённых областях.</w:t>
      </w:r>
      <w:proofErr w:type="gramEnd"/>
      <w:r>
        <w:rPr>
          <w:rFonts w:ascii="Calibri" w:hAnsi="Calibri" w:cs="Calibri"/>
        </w:rPr>
        <w:t xml:space="preserve"> В исследовании </w:t>
      </w:r>
      <w:proofErr w:type="spellStart"/>
      <w:r>
        <w:rPr>
          <w:rFonts w:ascii="Calibri" w:hAnsi="Calibri" w:cs="Calibri"/>
        </w:rPr>
        <w:t>Накамура</w:t>
      </w:r>
      <w:proofErr w:type="spellEnd"/>
      <w:r>
        <w:rPr>
          <w:rFonts w:ascii="Calibri" w:hAnsi="Calibri" w:cs="Calibri"/>
        </w:rPr>
        <w:t xml:space="preserve"> и коллег результаты были распределены по классам (от 1 до 3), а случайные заборы для биопсии были выполне</w:t>
      </w:r>
      <w:r w:rsidR="008C5404">
        <w:rPr>
          <w:rFonts w:ascii="Calibri" w:hAnsi="Calibri" w:cs="Calibri"/>
        </w:rPr>
        <w:t>ны только 29% пациентам (8). В  исследовании, проведенном с использованием биопсии,</w:t>
      </w:r>
      <w:r>
        <w:rPr>
          <w:rFonts w:ascii="Calibri" w:hAnsi="Calibri" w:cs="Calibri"/>
        </w:rPr>
        <w:t xml:space="preserve"> только у 4,3% пациентов были отрицательные результаты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(9).</w:t>
      </w:r>
    </w:p>
    <w:p w:rsidR="00272BEE" w:rsidRDefault="00272BEE" w:rsidP="00434BB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нашего замысла, мы возложили относительно более скромные надежды на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 посредством проведения биопсии на всех четырёх квадрантах шейки матки: целенаправленная биопсия выполнялась в квадрантах с очевидными поражениями, но со всех квадрантов были взяты образцы, независимо от результатов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. Мы считаем, что эти результаты не противоречивы, однако они отражают характерную проблему, сопряжённую с </w:t>
      </w:r>
      <w:proofErr w:type="gramStart"/>
      <w:r>
        <w:rPr>
          <w:rFonts w:ascii="Calibri" w:hAnsi="Calibri" w:cs="Calibri"/>
        </w:rPr>
        <w:t>недостаточной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сензитивностью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. Проведение интенсифицированной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, согласно вышеописанным исследованиям (8,9), или выполнение более ограниченной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, компенсированной за счёт случайных биопсий, сходное с замыслом нашего исследования, также может быть проведено с оглядкой на выявление случаев ЦИН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+.</w:t>
      </w:r>
    </w:p>
    <w:p w:rsidR="00272BEE" w:rsidRDefault="00F55303" w:rsidP="00F553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</w:t>
      </w:r>
      <w:r w:rsidR="00272BEE">
        <w:rPr>
          <w:rFonts w:ascii="Calibri" w:hAnsi="Calibri" w:cs="Calibri"/>
        </w:rPr>
        <w:t xml:space="preserve"> второй вариант более осуществим и интересен с практической точки зрения. Хотя результаты этих исследований не могут быть полностью сопоставлены из-за различий в замыслах, все исследования идут в одном направлении. Они доказывают, что </w:t>
      </w:r>
      <w:proofErr w:type="gramStart"/>
      <w:r w:rsidR="00272BEE">
        <w:rPr>
          <w:rFonts w:ascii="Calibri" w:hAnsi="Calibri" w:cs="Calibri"/>
        </w:rPr>
        <w:t>недостаточную</w:t>
      </w:r>
      <w:proofErr w:type="gramEnd"/>
      <w:r w:rsidR="00272BEE">
        <w:rPr>
          <w:rFonts w:ascii="Calibri" w:hAnsi="Calibri" w:cs="Calibri"/>
        </w:rPr>
        <w:t xml:space="preserve"> </w:t>
      </w:r>
      <w:proofErr w:type="spellStart"/>
      <w:r w:rsidR="00272BEE">
        <w:rPr>
          <w:rFonts w:ascii="Calibri" w:hAnsi="Calibri" w:cs="Calibri"/>
        </w:rPr>
        <w:t>сензитивность</w:t>
      </w:r>
      <w:proofErr w:type="spellEnd"/>
      <w:r w:rsidR="00272BEE">
        <w:rPr>
          <w:rFonts w:ascii="Calibri" w:hAnsi="Calibri" w:cs="Calibri"/>
        </w:rPr>
        <w:t xml:space="preserve"> </w:t>
      </w:r>
      <w:proofErr w:type="spellStart"/>
      <w:r w:rsidR="00272BEE">
        <w:rPr>
          <w:rFonts w:ascii="Calibri" w:hAnsi="Calibri" w:cs="Calibri"/>
        </w:rPr>
        <w:t>кольпоскопии</w:t>
      </w:r>
      <w:proofErr w:type="spellEnd"/>
      <w:r w:rsidR="00272BEE">
        <w:rPr>
          <w:rFonts w:ascii="Calibri" w:hAnsi="Calibri" w:cs="Calibri"/>
        </w:rPr>
        <w:t xml:space="preserve"> можно компенсировать посредством взятия дополнительных биопсий, что также согласуется с выводом, сделанным в "</w:t>
      </w:r>
      <w:proofErr w:type="spellStart"/>
      <w:r w:rsidR="00272BEE">
        <w:rPr>
          <w:rFonts w:ascii="Calibri" w:hAnsi="Calibri" w:cs="Calibri"/>
        </w:rPr>
        <w:t>кольпоскопической</w:t>
      </w:r>
      <w:proofErr w:type="spellEnd"/>
      <w:r w:rsidR="00272BEE">
        <w:rPr>
          <w:rFonts w:ascii="Calibri" w:hAnsi="Calibri" w:cs="Calibri"/>
        </w:rPr>
        <w:t xml:space="preserve"> части" исследований Вакцины будущего (4).</w:t>
      </w:r>
    </w:p>
    <w:p w:rsidR="00272BEE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72BEE" w:rsidRDefault="00272BEE" w:rsidP="00F553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АЛЬТС-исследование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Гейга</w:t>
      </w:r>
      <w:proofErr w:type="spellEnd"/>
      <w:r>
        <w:rPr>
          <w:rFonts w:ascii="Calibri" w:hAnsi="Calibri" w:cs="Calibri"/>
        </w:rPr>
        <w:t xml:space="preserve"> и коллег тоже </w:t>
      </w:r>
      <w:proofErr w:type="spellStart"/>
      <w:r>
        <w:rPr>
          <w:rFonts w:ascii="Calibri" w:hAnsi="Calibri" w:cs="Calibri"/>
        </w:rPr>
        <w:t>релевантно</w:t>
      </w:r>
      <w:proofErr w:type="spellEnd"/>
      <w:r>
        <w:rPr>
          <w:rFonts w:ascii="Calibri" w:hAnsi="Calibri" w:cs="Calibri"/>
        </w:rPr>
        <w:t xml:space="preserve"> данной дискуссии, так как оно показало, что, когда практикующие медсёстры и гинекологи общей практики делали больше биопсий в областях с положительной реакцией на тест Шиллера, нежели их коллеги - специалисты по гинекологической онкологии, им удавалось достигнуть одинаковой </w:t>
      </w:r>
      <w:proofErr w:type="spellStart"/>
      <w:r>
        <w:rPr>
          <w:rFonts w:ascii="Calibri" w:hAnsi="Calibri" w:cs="Calibri"/>
        </w:rPr>
        <w:t>сензитивности</w:t>
      </w:r>
      <w:proofErr w:type="spellEnd"/>
      <w:r>
        <w:rPr>
          <w:rFonts w:ascii="Calibri" w:hAnsi="Calibri" w:cs="Calibri"/>
        </w:rPr>
        <w:t xml:space="preserve"> (5).</w:t>
      </w:r>
    </w:p>
    <w:p w:rsidR="00272BEE" w:rsidRDefault="00272BEE" w:rsidP="00F553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Сила нашего исследования заключалась в </w:t>
      </w:r>
      <w:proofErr w:type="spellStart"/>
      <w:r>
        <w:rPr>
          <w:rFonts w:ascii="Calibri" w:hAnsi="Calibri" w:cs="Calibri"/>
        </w:rPr>
        <w:t>проспективном</w:t>
      </w:r>
      <w:proofErr w:type="spellEnd"/>
      <w:r>
        <w:rPr>
          <w:rFonts w:ascii="Calibri" w:hAnsi="Calibri" w:cs="Calibri"/>
        </w:rPr>
        <w:t xml:space="preserve"> замысле. Мы могли изучать будущих пациентов, получивших направление исходя из точных рекомендаций департамента национального здравоохранения, что существенно снижало риск ошибочной выборки. Более того, диагностика пациентов посредством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и анализа гистологического материала была унифицирована и структурирована. Так как весь гистологический материал был изучен, риски неверной классификации и случайные ошибки, вероятно, были бы минимальны.</w:t>
      </w:r>
    </w:p>
    <w:p w:rsidR="00272BEE" w:rsidRDefault="00272BEE" w:rsidP="00B877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Возможное ограничение состояло в том, что все процедуры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проводил один гинеколог, лишая нас возможности оценить надёжность заключений различных специалистов. Так как явления, обнаруженные при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, зависят от квалификации врача, выполняющего данную процедуру, её результаты не подлежат </w:t>
      </w:r>
      <w:r w:rsidR="00B87733">
        <w:rPr>
          <w:rFonts w:ascii="Calibri" w:hAnsi="Calibri" w:cs="Calibri"/>
        </w:rPr>
        <w:t>генерализации</w:t>
      </w:r>
      <w:r>
        <w:rPr>
          <w:rFonts w:ascii="Calibri" w:hAnsi="Calibri" w:cs="Calibri"/>
        </w:rPr>
        <w:t xml:space="preserve">. С другой стороны, это привело к унифицированному и стандартизованному обследованию всех испытуемых. Специалист, проводящий </w:t>
      </w:r>
      <w:proofErr w:type="spellStart"/>
      <w:r>
        <w:rPr>
          <w:rFonts w:ascii="Calibri" w:hAnsi="Calibri" w:cs="Calibri"/>
        </w:rPr>
        <w:t>кольпоскопию</w:t>
      </w:r>
      <w:proofErr w:type="spellEnd"/>
      <w:r>
        <w:rPr>
          <w:rFonts w:ascii="Calibri" w:hAnsi="Calibri" w:cs="Calibri"/>
        </w:rPr>
        <w:t xml:space="preserve">, не был знаком с содержанием направления на цитологию. </w:t>
      </w:r>
      <w:proofErr w:type="gramStart"/>
      <w:r>
        <w:rPr>
          <w:rFonts w:ascii="Calibri" w:hAnsi="Calibri" w:cs="Calibri"/>
        </w:rPr>
        <w:t xml:space="preserve">Такая осведомлённость могла бы привести к ошибкам классификации, так как указание в направлении на цитологию дисплазии высокой степени могло бы повлиять на впечатление специалиста от увиденного при проведении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и на интерпретацию её результатов.</w:t>
      </w:r>
      <w:proofErr w:type="gramEnd"/>
    </w:p>
    <w:p w:rsidR="00272BEE" w:rsidRDefault="00272BEE" w:rsidP="00B877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институциональным традициям и принципам, мы не использовали окрашивание йодом по системе </w:t>
      </w:r>
      <w:proofErr w:type="spellStart"/>
      <w:r>
        <w:rPr>
          <w:rFonts w:ascii="Calibri" w:hAnsi="Calibri" w:cs="Calibri"/>
        </w:rPr>
        <w:t>Люголя</w:t>
      </w:r>
      <w:proofErr w:type="spellEnd"/>
      <w:r>
        <w:rPr>
          <w:rFonts w:ascii="Calibri" w:hAnsi="Calibri" w:cs="Calibri"/>
        </w:rPr>
        <w:t>.</w:t>
      </w:r>
      <w:r w:rsidR="00B877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Возможно, это привело к снижению </w:t>
      </w:r>
      <w:proofErr w:type="spellStart"/>
      <w:r>
        <w:rPr>
          <w:rFonts w:ascii="Calibri" w:hAnsi="Calibri" w:cs="Calibri"/>
        </w:rPr>
        <w:t>сензитивности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>, поскольку окрашивание йодом считается самостоятельным прогностическим фактором выявления поражений тяжёлой степени (3,6).</w:t>
      </w:r>
    </w:p>
    <w:p w:rsidR="00272BEE" w:rsidRPr="00B87733" w:rsidRDefault="00272BEE" w:rsidP="00272B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B87733">
        <w:rPr>
          <w:rFonts w:ascii="Calibri" w:hAnsi="Calibri" w:cs="Calibri"/>
          <w:b/>
          <w:sz w:val="24"/>
          <w:szCs w:val="24"/>
        </w:rPr>
        <w:t>Заключение</w:t>
      </w:r>
    </w:p>
    <w:p w:rsidR="00272BEE" w:rsidRDefault="00272BEE" w:rsidP="00B877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Наши результаты, согласующиеся с данными большинства недавних исследований, показывают, что в условиях клинической практики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не является самостоятельным диагностическим инструментом. Значительная доля релевантных гистологических поражений была выявлена у женщин с негативными результатами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 и полным обзором зоны перехода плоского эпителия пищевода в цилиндрический эпителий, что свидетельствует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низкой </w:t>
      </w:r>
      <w:proofErr w:type="spellStart"/>
      <w:r>
        <w:rPr>
          <w:rFonts w:ascii="Calibri" w:hAnsi="Calibri" w:cs="Calibri"/>
        </w:rPr>
        <w:t>сензитивности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кольпоскопии</w:t>
      </w:r>
      <w:proofErr w:type="spellEnd"/>
      <w:r>
        <w:rPr>
          <w:rFonts w:ascii="Calibri" w:hAnsi="Calibri" w:cs="Calibri"/>
        </w:rPr>
        <w:t xml:space="preserve">. Даже когда </w:t>
      </w:r>
      <w:proofErr w:type="spellStart"/>
      <w:r>
        <w:rPr>
          <w:rFonts w:ascii="Calibri" w:hAnsi="Calibri" w:cs="Calibri"/>
        </w:rPr>
        <w:t>кольпоскопия</w:t>
      </w:r>
      <w:proofErr w:type="spellEnd"/>
      <w:r>
        <w:rPr>
          <w:rFonts w:ascii="Calibri" w:hAnsi="Calibri" w:cs="Calibri"/>
        </w:rPr>
        <w:t xml:space="preserve"> давала положительные результаты, мы обнаружили, что значительное число случаев не было бы установлено, если бы биопсия проводилась только на квадрантах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положительной </w:t>
      </w:r>
      <w:proofErr w:type="spellStart"/>
      <w:r>
        <w:rPr>
          <w:rFonts w:ascii="Calibri" w:hAnsi="Calibri" w:cs="Calibri"/>
        </w:rPr>
        <w:t>кольпоскопией</w:t>
      </w:r>
      <w:proofErr w:type="spellEnd"/>
      <w:r>
        <w:rPr>
          <w:rFonts w:ascii="Calibri" w:hAnsi="Calibri" w:cs="Calibri"/>
        </w:rPr>
        <w:t>. Наиболее важны</w:t>
      </w:r>
      <w:r w:rsidR="00B87733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клинический вывод из наших находок следующий: </w:t>
      </w:r>
      <w:r w:rsidR="00B87733"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 дополнени</w:t>
      </w:r>
      <w:r w:rsidR="00B87733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 к биопсии областей с положительной реакцией на пробу Шиллера мы рекомендуем проводить биопсию </w:t>
      </w:r>
      <w:proofErr w:type="spellStart"/>
      <w:r>
        <w:rPr>
          <w:rFonts w:ascii="Calibri" w:hAnsi="Calibri" w:cs="Calibri"/>
        </w:rPr>
        <w:t>кольпоскопически-отрицательных</w:t>
      </w:r>
      <w:proofErr w:type="spellEnd"/>
      <w:r>
        <w:rPr>
          <w:rFonts w:ascii="Calibri" w:hAnsi="Calibri" w:cs="Calibri"/>
        </w:rPr>
        <w:t xml:space="preserve"> квадрантов шейки матки у женщин с аномальной цитологией.</w:t>
      </w:r>
    </w:p>
    <w:p w:rsidR="00272BEE" w:rsidRPr="00DA4BFA" w:rsidRDefault="00272BEE" w:rsidP="00272BEE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272BEE" w:rsidRPr="00DA4BFA" w:rsidRDefault="00272BEE" w:rsidP="00272BEE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DA4BFA">
        <w:rPr>
          <w:rFonts w:cstheme="minorHAnsi"/>
          <w:b/>
        </w:rPr>
        <w:t>Список литературы</w:t>
      </w:r>
    </w:p>
    <w:p w:rsidR="00EB7B21" w:rsidRDefault="00EB7B21">
      <w:bookmarkStart w:id="0" w:name="_GoBack"/>
      <w:bookmarkEnd w:id="0"/>
    </w:p>
    <w:sectPr w:rsidR="00EB7B21" w:rsidSect="00A603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BEE"/>
    <w:rsid w:val="0002674C"/>
    <w:rsid w:val="00073F7A"/>
    <w:rsid w:val="00074633"/>
    <w:rsid w:val="000B493B"/>
    <w:rsid w:val="001D7237"/>
    <w:rsid w:val="00233FC2"/>
    <w:rsid w:val="00247E60"/>
    <w:rsid w:val="00272BEE"/>
    <w:rsid w:val="00296F66"/>
    <w:rsid w:val="002A7FF5"/>
    <w:rsid w:val="00363649"/>
    <w:rsid w:val="00391217"/>
    <w:rsid w:val="003B7DAE"/>
    <w:rsid w:val="003E3921"/>
    <w:rsid w:val="00434BB5"/>
    <w:rsid w:val="00510CF4"/>
    <w:rsid w:val="00533DB9"/>
    <w:rsid w:val="00581460"/>
    <w:rsid w:val="00601282"/>
    <w:rsid w:val="00667783"/>
    <w:rsid w:val="006C2B8D"/>
    <w:rsid w:val="00733681"/>
    <w:rsid w:val="00795B01"/>
    <w:rsid w:val="008160D8"/>
    <w:rsid w:val="008A6B29"/>
    <w:rsid w:val="008C5404"/>
    <w:rsid w:val="00921728"/>
    <w:rsid w:val="00953A71"/>
    <w:rsid w:val="0097234D"/>
    <w:rsid w:val="00992160"/>
    <w:rsid w:val="00AA54FD"/>
    <w:rsid w:val="00AC13CA"/>
    <w:rsid w:val="00B111A1"/>
    <w:rsid w:val="00B36AD5"/>
    <w:rsid w:val="00B87733"/>
    <w:rsid w:val="00BA7B93"/>
    <w:rsid w:val="00C610EF"/>
    <w:rsid w:val="00C6180E"/>
    <w:rsid w:val="00DA4BFA"/>
    <w:rsid w:val="00DF1A87"/>
    <w:rsid w:val="00E16612"/>
    <w:rsid w:val="00E841C3"/>
    <w:rsid w:val="00EB7B21"/>
    <w:rsid w:val="00EC689A"/>
    <w:rsid w:val="00F5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grid.baasland@ntnu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1BC0-65C3-4F4E-8378-DDB00D09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Евгения</cp:lastModifiedBy>
  <cp:revision>25</cp:revision>
  <dcterms:created xsi:type="dcterms:W3CDTF">2017-10-14T18:36:00Z</dcterms:created>
  <dcterms:modified xsi:type="dcterms:W3CDTF">2017-10-18T14:35:00Z</dcterms:modified>
</cp:coreProperties>
</file>