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095E" w14:textId="77777777" w:rsidR="0091456A" w:rsidRDefault="0091456A" w:rsidP="0091456A"/>
    <w:p w14:paraId="29DA3B35" w14:textId="77777777" w:rsidR="0091456A" w:rsidRPr="00017EA4" w:rsidRDefault="0091456A" w:rsidP="0091456A">
      <w:pPr>
        <w:jc w:val="center"/>
        <w:rPr>
          <w:b/>
          <w:bCs/>
          <w:sz w:val="22"/>
        </w:rPr>
      </w:pPr>
      <w:r w:rsidRPr="00017EA4">
        <w:rPr>
          <w:b/>
          <w:bCs/>
          <w:sz w:val="22"/>
        </w:rPr>
        <w:t xml:space="preserve">Тестовый перевод </w:t>
      </w:r>
    </w:p>
    <w:p w14:paraId="341E34D9" w14:textId="77777777" w:rsidR="0091456A" w:rsidRPr="001B2F6B" w:rsidRDefault="0091456A" w:rsidP="0091456A">
      <w:pPr>
        <w:jc w:val="center"/>
        <w:rPr>
          <w:b/>
          <w:u w:val="single"/>
        </w:rPr>
      </w:pPr>
      <w:r w:rsidRPr="00017EA4">
        <w:rPr>
          <w:b/>
          <w:bCs/>
          <w:sz w:val="22"/>
        </w:rPr>
        <w:t xml:space="preserve">(английский язык, </w:t>
      </w:r>
      <w:r w:rsidR="00D65B22">
        <w:rPr>
          <w:b/>
          <w:bCs/>
          <w:sz w:val="22"/>
        </w:rPr>
        <w:t>общая тематика</w:t>
      </w:r>
      <w:r w:rsidRPr="00017EA4">
        <w:rPr>
          <w:b/>
          <w:bCs/>
          <w:sz w:val="22"/>
        </w:rPr>
        <w:t>)</w:t>
      </w:r>
    </w:p>
    <w:p w14:paraId="05DE4573" w14:textId="77777777" w:rsidR="0091456A" w:rsidRDefault="0091456A" w:rsidP="0091456A"/>
    <w:p w14:paraId="3B1AED5F" w14:textId="77777777" w:rsidR="0091456A" w:rsidRDefault="0091456A" w:rsidP="0091456A"/>
    <w:tbl>
      <w:tblPr>
        <w:tblW w:w="0" w:type="auto"/>
        <w:tblInd w:w="-72" w:type="dxa"/>
        <w:tblLook w:val="01E0" w:firstRow="1" w:lastRow="1" w:firstColumn="1" w:lastColumn="1" w:noHBand="0" w:noVBand="0"/>
      </w:tblPr>
      <w:tblGrid>
        <w:gridCol w:w="4737"/>
        <w:gridCol w:w="4680"/>
      </w:tblGrid>
      <w:tr w:rsidR="0091456A" w:rsidRPr="00017EA4" w14:paraId="185B11C6" w14:textId="77777777" w:rsidTr="00267CDB">
        <w:tc>
          <w:tcPr>
            <w:tcW w:w="4857" w:type="dxa"/>
            <w:tcBorders>
              <w:top w:val="single" w:sz="4" w:space="0" w:color="auto"/>
              <w:left w:val="single" w:sz="4" w:space="0" w:color="auto"/>
              <w:bottom w:val="single" w:sz="4" w:space="0" w:color="auto"/>
              <w:right w:val="single" w:sz="4" w:space="0" w:color="auto"/>
            </w:tcBorders>
            <w:shd w:val="clear" w:color="auto" w:fill="auto"/>
          </w:tcPr>
          <w:p w14:paraId="13112FE1" w14:textId="77777777" w:rsidR="0091456A" w:rsidRPr="00EE68E2" w:rsidRDefault="0091456A" w:rsidP="00267CDB">
            <w:pPr>
              <w:shd w:val="clear" w:color="auto" w:fill="FFFFFF"/>
              <w:jc w:val="both"/>
              <w:rPr>
                <w:b/>
                <w:sz w:val="22"/>
                <w:szCs w:val="22"/>
                <w:lang w:val="en-US"/>
              </w:rPr>
            </w:pPr>
            <w:r w:rsidRPr="00EE68E2">
              <w:rPr>
                <w:b/>
                <w:sz w:val="22"/>
                <w:szCs w:val="22"/>
                <w:lang w:val="en-US"/>
              </w:rPr>
              <w:t xml:space="preserve">ФИО </w:t>
            </w:r>
            <w:proofErr w:type="spellStart"/>
            <w:r w:rsidRPr="00EE68E2">
              <w:rPr>
                <w:b/>
                <w:sz w:val="22"/>
                <w:szCs w:val="22"/>
                <w:lang w:val="en-US"/>
              </w:rPr>
              <w:t>переводчика</w:t>
            </w:r>
            <w:proofErr w:type="spellEnd"/>
            <w:r w:rsidRPr="00EE68E2">
              <w:rPr>
                <w:b/>
                <w:sz w:val="22"/>
                <w:szCs w:val="22"/>
                <w:lang w:val="en-US"/>
              </w:rPr>
              <w:t>:</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5668077" w14:textId="0B2CB5DE" w:rsidR="00D65B22" w:rsidRPr="00595415" w:rsidRDefault="00595415" w:rsidP="00267CDB">
            <w:pPr>
              <w:jc w:val="both"/>
              <w:rPr>
                <w:b/>
                <w:sz w:val="22"/>
                <w:szCs w:val="22"/>
              </w:rPr>
            </w:pPr>
            <w:r>
              <w:rPr>
                <w:b/>
                <w:sz w:val="22"/>
                <w:szCs w:val="22"/>
              </w:rPr>
              <w:t>Караева Анастасия Алексеевна</w:t>
            </w:r>
          </w:p>
        </w:tc>
      </w:tr>
      <w:tr w:rsidR="0091456A" w:rsidRPr="00017EA4" w14:paraId="2702B7D2" w14:textId="77777777" w:rsidTr="00267CDB">
        <w:tc>
          <w:tcPr>
            <w:tcW w:w="4857" w:type="dxa"/>
            <w:tcBorders>
              <w:top w:val="single" w:sz="4" w:space="0" w:color="auto"/>
              <w:left w:val="single" w:sz="4" w:space="0" w:color="auto"/>
              <w:bottom w:val="single" w:sz="4" w:space="0" w:color="auto"/>
              <w:right w:val="single" w:sz="4" w:space="0" w:color="auto"/>
            </w:tcBorders>
            <w:shd w:val="clear" w:color="auto" w:fill="auto"/>
          </w:tcPr>
          <w:p w14:paraId="78C5A9C6" w14:textId="77777777" w:rsidR="0091456A" w:rsidRPr="00EE68E2" w:rsidRDefault="0091456A" w:rsidP="00267CDB">
            <w:pPr>
              <w:shd w:val="clear" w:color="auto" w:fill="FFFFFF"/>
              <w:jc w:val="both"/>
              <w:rPr>
                <w:b/>
                <w:sz w:val="22"/>
                <w:szCs w:val="22"/>
                <w:lang w:val="en-US"/>
              </w:rPr>
            </w:pPr>
            <w:proofErr w:type="spellStart"/>
            <w:r w:rsidRPr="00EE68E2">
              <w:rPr>
                <w:b/>
                <w:sz w:val="22"/>
                <w:szCs w:val="22"/>
                <w:lang w:val="en-US"/>
              </w:rPr>
              <w:t>Дата</w:t>
            </w:r>
            <w:proofErr w:type="spellEnd"/>
            <w:r w:rsidRPr="00EE68E2">
              <w:rPr>
                <w:b/>
                <w:sz w:val="22"/>
                <w:szCs w:val="22"/>
                <w:lang w:val="en-US"/>
              </w:rPr>
              <w:t xml:space="preserve"> </w:t>
            </w:r>
            <w:proofErr w:type="spellStart"/>
            <w:r w:rsidRPr="00EE68E2">
              <w:rPr>
                <w:b/>
                <w:sz w:val="22"/>
                <w:szCs w:val="22"/>
                <w:lang w:val="en-US"/>
              </w:rPr>
              <w:t>выполнения</w:t>
            </w:r>
            <w:proofErr w:type="spellEnd"/>
            <w:r w:rsidRPr="00EE68E2">
              <w:rPr>
                <w:b/>
                <w:sz w:val="22"/>
                <w:szCs w:val="22"/>
                <w:lang w:val="en-US"/>
              </w:rPr>
              <w:t>:</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520F10C2" w14:textId="3B8848C2" w:rsidR="0091456A" w:rsidRPr="00EE68E2" w:rsidRDefault="00595415" w:rsidP="00267CDB">
            <w:pPr>
              <w:jc w:val="both"/>
              <w:rPr>
                <w:b/>
                <w:sz w:val="22"/>
                <w:szCs w:val="22"/>
              </w:rPr>
            </w:pPr>
            <w:r>
              <w:rPr>
                <w:b/>
                <w:sz w:val="22"/>
                <w:szCs w:val="22"/>
              </w:rPr>
              <w:t>06.07.2022</w:t>
            </w:r>
          </w:p>
        </w:tc>
      </w:tr>
      <w:tr w:rsidR="0091456A" w:rsidRPr="00017EA4" w14:paraId="793A6503" w14:textId="77777777" w:rsidTr="00267CDB">
        <w:tc>
          <w:tcPr>
            <w:tcW w:w="4857" w:type="dxa"/>
            <w:tcBorders>
              <w:top w:val="single" w:sz="4" w:space="0" w:color="auto"/>
              <w:bottom w:val="single" w:sz="4" w:space="0" w:color="auto"/>
            </w:tcBorders>
            <w:shd w:val="clear" w:color="auto" w:fill="auto"/>
          </w:tcPr>
          <w:p w14:paraId="2E52C8DC" w14:textId="77777777" w:rsidR="0091456A" w:rsidRPr="00EE68E2" w:rsidRDefault="0091456A" w:rsidP="00267CDB">
            <w:pPr>
              <w:shd w:val="clear" w:color="auto" w:fill="FFFFFF"/>
              <w:jc w:val="both"/>
              <w:rPr>
                <w:b/>
                <w:sz w:val="22"/>
                <w:szCs w:val="22"/>
                <w:lang w:val="en-US"/>
              </w:rPr>
            </w:pPr>
          </w:p>
        </w:tc>
        <w:tc>
          <w:tcPr>
            <w:tcW w:w="4786" w:type="dxa"/>
            <w:tcBorders>
              <w:top w:val="single" w:sz="4" w:space="0" w:color="auto"/>
              <w:bottom w:val="single" w:sz="4" w:space="0" w:color="auto"/>
            </w:tcBorders>
            <w:shd w:val="clear" w:color="auto" w:fill="auto"/>
          </w:tcPr>
          <w:p w14:paraId="38F06408" w14:textId="77777777" w:rsidR="0091456A" w:rsidRPr="00EE68E2" w:rsidRDefault="0091456A" w:rsidP="00267CDB">
            <w:pPr>
              <w:jc w:val="both"/>
              <w:rPr>
                <w:b/>
                <w:sz w:val="22"/>
                <w:szCs w:val="22"/>
              </w:rPr>
            </w:pPr>
          </w:p>
        </w:tc>
      </w:tr>
      <w:tr w:rsidR="0091456A" w:rsidRPr="00017EA4" w14:paraId="3D5412C2" w14:textId="77777777" w:rsidTr="00267CDB">
        <w:tc>
          <w:tcPr>
            <w:tcW w:w="4857" w:type="dxa"/>
            <w:tcBorders>
              <w:top w:val="single" w:sz="4" w:space="0" w:color="auto"/>
              <w:left w:val="single" w:sz="4" w:space="0" w:color="auto"/>
              <w:bottom w:val="single" w:sz="4" w:space="0" w:color="auto"/>
              <w:right w:val="single" w:sz="4" w:space="0" w:color="auto"/>
            </w:tcBorders>
            <w:shd w:val="clear" w:color="auto" w:fill="auto"/>
          </w:tcPr>
          <w:p w14:paraId="504229B0" w14:textId="77777777" w:rsidR="0091456A" w:rsidRPr="00EE68E2" w:rsidRDefault="0091456A" w:rsidP="00267CDB">
            <w:pPr>
              <w:shd w:val="clear" w:color="auto" w:fill="FFFFFF"/>
              <w:jc w:val="center"/>
              <w:rPr>
                <w:b/>
                <w:sz w:val="22"/>
                <w:szCs w:val="22"/>
                <w:lang w:val="en-US"/>
              </w:rPr>
            </w:pPr>
            <w:proofErr w:type="spellStart"/>
            <w:r w:rsidRPr="00EE68E2">
              <w:rPr>
                <w:b/>
                <w:sz w:val="22"/>
                <w:szCs w:val="22"/>
                <w:lang w:val="en-US"/>
              </w:rPr>
              <w:t>Задание</w:t>
            </w:r>
            <w:proofErr w:type="spellEnd"/>
            <w:r w:rsidRPr="00EE68E2">
              <w:rPr>
                <w:b/>
                <w:sz w:val="22"/>
                <w:szCs w:val="22"/>
                <w:lang w:val="en-US"/>
              </w:rPr>
              <w:t xml:space="preserve"> </w:t>
            </w:r>
            <w:proofErr w:type="spellStart"/>
            <w:r w:rsidRPr="00EE68E2">
              <w:rPr>
                <w:b/>
                <w:sz w:val="22"/>
                <w:szCs w:val="22"/>
                <w:lang w:val="en-US"/>
              </w:rPr>
              <w:t>на</w:t>
            </w:r>
            <w:proofErr w:type="spellEnd"/>
            <w:r w:rsidRPr="00EE68E2">
              <w:rPr>
                <w:b/>
                <w:sz w:val="22"/>
                <w:szCs w:val="22"/>
                <w:lang w:val="en-US"/>
              </w:rPr>
              <w:t xml:space="preserve"> </w:t>
            </w:r>
            <w:proofErr w:type="spellStart"/>
            <w:r w:rsidRPr="00EE68E2">
              <w:rPr>
                <w:b/>
                <w:sz w:val="22"/>
                <w:szCs w:val="22"/>
                <w:lang w:val="en-US"/>
              </w:rPr>
              <w:t>перевод</w:t>
            </w:r>
            <w:proofErr w:type="spellEnd"/>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54619AF" w14:textId="77777777" w:rsidR="0091456A" w:rsidRPr="00EE68E2" w:rsidRDefault="0091456A" w:rsidP="00267CDB">
            <w:pPr>
              <w:jc w:val="center"/>
              <w:rPr>
                <w:b/>
                <w:sz w:val="22"/>
                <w:szCs w:val="22"/>
              </w:rPr>
            </w:pPr>
            <w:r w:rsidRPr="00EE68E2">
              <w:rPr>
                <w:b/>
                <w:sz w:val="22"/>
                <w:szCs w:val="22"/>
              </w:rPr>
              <w:t>Перевод</w:t>
            </w:r>
          </w:p>
        </w:tc>
      </w:tr>
      <w:tr w:rsidR="0091456A" w:rsidRPr="00C700CA" w14:paraId="640C3384" w14:textId="77777777" w:rsidTr="0026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7" w:type="dxa"/>
            <w:shd w:val="clear" w:color="auto" w:fill="auto"/>
          </w:tcPr>
          <w:p w14:paraId="5D60818E" w14:textId="77777777" w:rsidR="00D65B22" w:rsidRDefault="00D65B22" w:rsidP="00D65B22">
            <w:pPr>
              <w:jc w:val="center"/>
            </w:pPr>
            <w:r>
              <w:t>Дополнительное соглашение № 3 к</w:t>
            </w:r>
          </w:p>
          <w:p w14:paraId="5A56FFB3" w14:textId="77777777" w:rsidR="00D65B22" w:rsidRPr="000768AC" w:rsidRDefault="00D65B22" w:rsidP="00D65B22">
            <w:pPr>
              <w:jc w:val="center"/>
            </w:pPr>
            <w:r>
              <w:t>Договору на поставку оборудования № 1 от 1 января 2016 г.</w:t>
            </w:r>
          </w:p>
          <w:p w14:paraId="569C4B12" w14:textId="77777777" w:rsidR="00D65B22" w:rsidRPr="00C44C2A" w:rsidRDefault="00D65B22" w:rsidP="00D65B22">
            <w:pPr>
              <w:jc w:val="center"/>
            </w:pPr>
            <w:r w:rsidRPr="00C44C2A">
              <w:t xml:space="preserve">г. Москва             </w:t>
            </w:r>
            <w:proofErr w:type="gramStart"/>
            <w:r>
              <w:t xml:space="preserve">   </w:t>
            </w:r>
            <w:r w:rsidRPr="00C44C2A">
              <w:t>«</w:t>
            </w:r>
            <w:proofErr w:type="gramEnd"/>
            <w:r>
              <w:t>01</w:t>
            </w:r>
            <w:r w:rsidRPr="00C44C2A">
              <w:t xml:space="preserve">» </w:t>
            </w:r>
            <w:r>
              <w:t>февраля</w:t>
            </w:r>
            <w:r w:rsidRPr="00C44C2A">
              <w:t xml:space="preserve"> 201</w:t>
            </w:r>
            <w:r>
              <w:t>6 года</w:t>
            </w:r>
          </w:p>
          <w:p w14:paraId="44F8D199" w14:textId="77777777" w:rsidR="00D65B22" w:rsidRPr="00C44C2A" w:rsidRDefault="00D65B22" w:rsidP="00D65B22">
            <w:pPr>
              <w:ind w:firstLine="567"/>
              <w:jc w:val="both"/>
            </w:pPr>
            <w:r w:rsidRPr="00C44C2A">
              <w:rPr>
                <w:b/>
              </w:rPr>
              <w:t>Общество с ограниченной ответственностью «</w:t>
            </w:r>
            <w:r>
              <w:rPr>
                <w:b/>
              </w:rPr>
              <w:t>Ромашка</w:t>
            </w:r>
            <w:r w:rsidRPr="00C44C2A">
              <w:rPr>
                <w:b/>
              </w:rPr>
              <w:t>» (ООО «</w:t>
            </w:r>
            <w:r>
              <w:rPr>
                <w:b/>
              </w:rPr>
              <w:t>Ромашка</w:t>
            </w:r>
            <w:r w:rsidRPr="00C44C2A">
              <w:rPr>
                <w:b/>
              </w:rPr>
              <w:t xml:space="preserve">»), </w:t>
            </w:r>
            <w:r w:rsidRPr="00C44C2A">
              <w:t>именуемое в дальнейшем «</w:t>
            </w:r>
            <w:r>
              <w:t>Ромашка</w:t>
            </w:r>
            <w:r w:rsidRPr="00C44C2A">
              <w:t xml:space="preserve">», в лице Генерального директора </w:t>
            </w:r>
            <w:proofErr w:type="spellStart"/>
            <w:r>
              <w:t>Пчелко</w:t>
            </w:r>
            <w:proofErr w:type="spellEnd"/>
            <w:r>
              <w:t xml:space="preserve"> З. З.</w:t>
            </w:r>
            <w:r w:rsidRPr="00C44C2A">
              <w:t>, действующего на основании Устава, с одной стороны, и</w:t>
            </w:r>
          </w:p>
          <w:p w14:paraId="188DAF2E" w14:textId="77777777" w:rsidR="00D65B22" w:rsidRDefault="00D65B22" w:rsidP="00D65B22">
            <w:pPr>
              <w:ind w:firstLine="567"/>
              <w:jc w:val="both"/>
            </w:pPr>
            <w:r w:rsidRPr="00C44C2A">
              <w:rPr>
                <w:b/>
              </w:rPr>
              <w:t>Открытое акционерное общество «</w:t>
            </w:r>
            <w:r>
              <w:rPr>
                <w:b/>
              </w:rPr>
              <w:t>Василек</w:t>
            </w:r>
            <w:r w:rsidRPr="00C44C2A">
              <w:rPr>
                <w:b/>
              </w:rPr>
              <w:t>» (ОАО «</w:t>
            </w:r>
            <w:r>
              <w:rPr>
                <w:b/>
              </w:rPr>
              <w:t>Василек</w:t>
            </w:r>
            <w:r w:rsidRPr="00C44C2A">
              <w:rPr>
                <w:b/>
              </w:rPr>
              <w:t xml:space="preserve">»), </w:t>
            </w:r>
            <w:r w:rsidRPr="00C44C2A">
              <w:t>именуемое в дальнейшем «</w:t>
            </w:r>
            <w:r>
              <w:t>Василек</w:t>
            </w:r>
            <w:r w:rsidRPr="00C44C2A">
              <w:t>», в лице Генерального директора</w:t>
            </w:r>
            <w:r>
              <w:t xml:space="preserve"> Шмелева С. С.</w:t>
            </w:r>
            <w:r w:rsidRPr="00C44C2A">
              <w:t xml:space="preserve">, действующего на основании Устава, с другой стороны, вместе именуемые «Стороны», заключили </w:t>
            </w:r>
            <w:r>
              <w:t xml:space="preserve">  </w:t>
            </w:r>
            <w:r w:rsidRPr="00C44C2A">
              <w:t>настоящ</w:t>
            </w:r>
            <w:r>
              <w:t>ее</w:t>
            </w:r>
            <w:r w:rsidRPr="00C44C2A">
              <w:t xml:space="preserve"> </w:t>
            </w:r>
            <w:r>
              <w:t xml:space="preserve">  Д</w:t>
            </w:r>
            <w:r w:rsidRPr="00C44C2A">
              <w:t xml:space="preserve">ополнительное соглашение </w:t>
            </w:r>
            <w:r>
              <w:t xml:space="preserve">   № 3 </w:t>
            </w:r>
            <w:r w:rsidRPr="00C44C2A">
              <w:t xml:space="preserve">(далее – Дополнительное соглашение) </w:t>
            </w:r>
            <w:r>
              <w:t>к Договору на поставку оборудования</w:t>
            </w:r>
            <w:r w:rsidRPr="003000E5">
              <w:t xml:space="preserve"> </w:t>
            </w:r>
            <w:r>
              <w:t>№1 от 01.01.2016</w:t>
            </w:r>
            <w:r w:rsidRPr="00C44C2A">
              <w:t xml:space="preserve"> (далее – Договор) о нижеследующем:</w:t>
            </w:r>
          </w:p>
          <w:p w14:paraId="0E862DF6" w14:textId="77777777" w:rsidR="0091456A" w:rsidRPr="0091456A" w:rsidRDefault="0091456A" w:rsidP="00267CDB">
            <w:pPr>
              <w:shd w:val="clear" w:color="auto" w:fill="FFFFFF"/>
              <w:jc w:val="both"/>
              <w:rPr>
                <w:sz w:val="22"/>
                <w:szCs w:val="22"/>
              </w:rPr>
            </w:pPr>
          </w:p>
        </w:tc>
        <w:tc>
          <w:tcPr>
            <w:tcW w:w="4786" w:type="dxa"/>
            <w:shd w:val="clear" w:color="auto" w:fill="auto"/>
          </w:tcPr>
          <w:p w14:paraId="4D92BD0F" w14:textId="0FE5BA69" w:rsidR="00595415" w:rsidRPr="0063213A" w:rsidRDefault="00595415" w:rsidP="00595415">
            <w:pPr>
              <w:jc w:val="center"/>
              <w:rPr>
                <w:lang w:val="en-US"/>
              </w:rPr>
            </w:pPr>
            <w:r>
              <w:rPr>
                <w:lang w:val="en"/>
              </w:rPr>
              <w:t>Addendum No. 3 to</w:t>
            </w:r>
          </w:p>
          <w:p w14:paraId="116BB99A" w14:textId="77777777" w:rsidR="00595415" w:rsidRPr="0063213A" w:rsidRDefault="00595415" w:rsidP="00595415">
            <w:pPr>
              <w:jc w:val="center"/>
              <w:rPr>
                <w:lang w:val="en-US"/>
              </w:rPr>
            </w:pPr>
            <w:r>
              <w:rPr>
                <w:lang w:val="en"/>
              </w:rPr>
              <w:t>Equipment Supply Contract No. 1 dated January 1, 2016</w:t>
            </w:r>
          </w:p>
          <w:p w14:paraId="6CBBF18E" w14:textId="77777777" w:rsidR="00595415" w:rsidRPr="0063213A" w:rsidRDefault="00595415" w:rsidP="00595415">
            <w:pPr>
              <w:jc w:val="center"/>
              <w:rPr>
                <w:lang w:val="en-US"/>
              </w:rPr>
            </w:pPr>
            <w:r>
              <w:rPr>
                <w:lang w:val="en"/>
              </w:rPr>
              <w:t>Moscow February 1, 2016</w:t>
            </w:r>
          </w:p>
          <w:p w14:paraId="012EBFAA" w14:textId="0782D427" w:rsidR="00595415" w:rsidRPr="0063213A" w:rsidRDefault="00595415" w:rsidP="00595415">
            <w:pPr>
              <w:jc w:val="both"/>
              <w:rPr>
                <w:lang w:val="en-US"/>
              </w:rPr>
            </w:pPr>
            <w:r>
              <w:rPr>
                <w:lang w:val="en"/>
              </w:rPr>
              <w:t xml:space="preserve">       </w:t>
            </w:r>
            <w:r w:rsidRPr="00595415">
              <w:rPr>
                <w:b/>
                <w:bCs/>
                <w:lang w:val="en"/>
              </w:rPr>
              <w:t>Limited Liability Company "</w:t>
            </w:r>
            <w:proofErr w:type="spellStart"/>
            <w:r w:rsidRPr="00595415">
              <w:rPr>
                <w:b/>
                <w:bCs/>
                <w:lang w:val="en"/>
              </w:rPr>
              <w:t>Romashka</w:t>
            </w:r>
            <w:proofErr w:type="spellEnd"/>
            <w:r w:rsidRPr="00595415">
              <w:rPr>
                <w:b/>
                <w:bCs/>
                <w:lang w:val="en"/>
              </w:rPr>
              <w:t>" (LLC "</w:t>
            </w:r>
            <w:proofErr w:type="spellStart"/>
            <w:r w:rsidRPr="00595415">
              <w:rPr>
                <w:b/>
                <w:bCs/>
                <w:lang w:val="en"/>
              </w:rPr>
              <w:t>Romashka</w:t>
            </w:r>
            <w:proofErr w:type="spellEnd"/>
            <w:r w:rsidRPr="00595415">
              <w:rPr>
                <w:b/>
                <w:bCs/>
                <w:lang w:val="en"/>
              </w:rPr>
              <w:t>"),</w:t>
            </w:r>
            <w:r>
              <w:rPr>
                <w:lang w:val="en"/>
              </w:rPr>
              <w:t xml:space="preserve"> hereinafter referred to as "Romashka", represented by General Director Pchelko Z. Z., acting on the basis of the Charter, on the behalf of LLC "</w:t>
            </w:r>
            <w:proofErr w:type="spellStart"/>
            <w:r>
              <w:rPr>
                <w:lang w:val="en"/>
              </w:rPr>
              <w:t>Romashka</w:t>
            </w:r>
            <w:proofErr w:type="spellEnd"/>
            <w:r>
              <w:rPr>
                <w:lang w:val="en"/>
              </w:rPr>
              <w:t>", and</w:t>
            </w:r>
          </w:p>
          <w:p w14:paraId="797B7F99" w14:textId="491F9DDC" w:rsidR="00595415" w:rsidRPr="0063213A" w:rsidRDefault="00595415" w:rsidP="00595415">
            <w:pPr>
              <w:jc w:val="both"/>
              <w:rPr>
                <w:lang w:val="en-US"/>
              </w:rPr>
            </w:pPr>
            <w:r>
              <w:rPr>
                <w:lang w:val="en"/>
              </w:rPr>
              <w:t xml:space="preserve">        </w:t>
            </w:r>
            <w:r w:rsidRPr="00595415">
              <w:rPr>
                <w:b/>
                <w:bCs/>
                <w:lang w:val="en"/>
              </w:rPr>
              <w:t>Open Joint Stock Company "Vasilek" (OJSC "Vasilek"),</w:t>
            </w:r>
            <w:r>
              <w:rPr>
                <w:lang w:val="en"/>
              </w:rPr>
              <w:t xml:space="preserve"> hereinafter referred to as "Vasilek", represented by General Director S. S. Shmelev, acting on the basis of the Charter, on the behalf </w:t>
            </w:r>
            <w:proofErr w:type="gramStart"/>
            <w:r>
              <w:rPr>
                <w:lang w:val="en"/>
              </w:rPr>
              <w:t>of  OJSC</w:t>
            </w:r>
            <w:proofErr w:type="gramEnd"/>
            <w:r>
              <w:rPr>
                <w:lang w:val="en"/>
              </w:rPr>
              <w:t xml:space="preserve"> "Vasilek". </w:t>
            </w:r>
            <w:proofErr w:type="gramStart"/>
            <w:r>
              <w:rPr>
                <w:lang w:val="en"/>
              </w:rPr>
              <w:t>Both  are</w:t>
            </w:r>
            <w:proofErr w:type="gramEnd"/>
            <w:r>
              <w:rPr>
                <w:lang w:val="en"/>
              </w:rPr>
              <w:t xml:space="preserve"> referred to as the "Parties", have concluded this Addendum No. 3 (hereinafter referred to as the Addendum) to the Contract for the Supply of Equipment No. 1 dated 01.01.2016 (hereinafter referred to as the Agreement) on the following:</w:t>
            </w:r>
          </w:p>
          <w:p w14:paraId="4C9DFD53" w14:textId="77777777" w:rsidR="0091456A" w:rsidRPr="00C700CA" w:rsidRDefault="0091456A" w:rsidP="00101C4C">
            <w:pPr>
              <w:jc w:val="both"/>
              <w:rPr>
                <w:sz w:val="22"/>
                <w:szCs w:val="22"/>
                <w:lang w:val="en-US"/>
              </w:rPr>
            </w:pPr>
          </w:p>
        </w:tc>
      </w:tr>
      <w:tr w:rsidR="0091456A" w:rsidRPr="00C700CA" w14:paraId="58B0DBFB" w14:textId="77777777" w:rsidTr="0026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7" w:type="dxa"/>
            <w:shd w:val="clear" w:color="auto" w:fill="auto"/>
          </w:tcPr>
          <w:p w14:paraId="43212B0A" w14:textId="77777777" w:rsidR="0091456A" w:rsidRPr="00F22915" w:rsidRDefault="00367ED0" w:rsidP="00367ED0">
            <w:pPr>
              <w:shd w:val="clear" w:color="auto" w:fill="FFFFFF"/>
              <w:jc w:val="both"/>
              <w:rPr>
                <w:sz w:val="22"/>
                <w:szCs w:val="22"/>
                <w:lang w:val="en-US"/>
              </w:rPr>
            </w:pPr>
            <w:r w:rsidRPr="00486301">
              <w:rPr>
                <w:rFonts w:ascii="Arial" w:hAnsi="Arial" w:cs="Arial"/>
                <w:color w:val="231F20"/>
                <w:sz w:val="20"/>
                <w:szCs w:val="20"/>
                <w:lang w:val="en-US"/>
              </w:rPr>
              <w:t xml:space="preserve">The </w:t>
            </w:r>
            <w:r>
              <w:rPr>
                <w:rFonts w:ascii="Arial" w:hAnsi="Arial" w:cs="Arial"/>
                <w:color w:val="231F20"/>
                <w:sz w:val="20"/>
                <w:szCs w:val="20"/>
                <w:lang w:val="en-US"/>
              </w:rPr>
              <w:t>Charity</w:t>
            </w:r>
            <w:r w:rsidRPr="00486301">
              <w:rPr>
                <w:rFonts w:ascii="Arial" w:hAnsi="Arial" w:cs="Arial"/>
                <w:color w:val="231F20"/>
                <w:sz w:val="20"/>
                <w:szCs w:val="20"/>
                <w:lang w:val="en-US"/>
              </w:rPr>
              <w:t xml:space="preserve"> Trust is another way that </w:t>
            </w:r>
            <w:r>
              <w:rPr>
                <w:rFonts w:ascii="Arial" w:hAnsi="Arial" w:cs="Arial"/>
                <w:color w:val="231F20"/>
                <w:sz w:val="20"/>
                <w:szCs w:val="20"/>
                <w:lang w:val="en-US"/>
              </w:rPr>
              <w:t>Goodman</w:t>
            </w:r>
            <w:r w:rsidRPr="00486301">
              <w:rPr>
                <w:rFonts w:ascii="Arial" w:hAnsi="Arial" w:cs="Arial"/>
                <w:color w:val="231F20"/>
                <w:sz w:val="20"/>
                <w:szCs w:val="20"/>
                <w:lang w:val="en-US"/>
              </w:rPr>
              <w:t xml:space="preserve"> gives. It is a resource for all </w:t>
            </w:r>
            <w:r>
              <w:rPr>
                <w:rFonts w:ascii="Arial" w:hAnsi="Arial" w:cs="Arial"/>
                <w:color w:val="231F20"/>
                <w:sz w:val="20"/>
                <w:szCs w:val="20"/>
                <w:lang w:val="en-US"/>
              </w:rPr>
              <w:t>Goodman</w:t>
            </w:r>
            <w:r w:rsidRPr="00486301">
              <w:rPr>
                <w:rFonts w:ascii="Arial" w:hAnsi="Arial" w:cs="Arial"/>
                <w:color w:val="231F20"/>
                <w:sz w:val="20"/>
                <w:szCs w:val="20"/>
                <w:lang w:val="en-US"/>
              </w:rPr>
              <w:t xml:space="preserve"> associates to use for both academic financial assistance and unexpected hardship. Many of our associates have taken advantage of this resource, whether it be to assist with post-secondary education or helping through the tough times of the aftermath of a natural disaster. The </w:t>
            </w:r>
            <w:r>
              <w:rPr>
                <w:rFonts w:ascii="Arial" w:hAnsi="Arial" w:cs="Arial"/>
                <w:color w:val="231F20"/>
                <w:sz w:val="20"/>
                <w:szCs w:val="20"/>
                <w:lang w:val="en-US"/>
              </w:rPr>
              <w:t>Charity</w:t>
            </w:r>
            <w:r w:rsidRPr="00486301">
              <w:rPr>
                <w:rFonts w:ascii="Arial" w:hAnsi="Arial" w:cs="Arial"/>
                <w:color w:val="231F20"/>
                <w:sz w:val="20"/>
                <w:szCs w:val="20"/>
                <w:lang w:val="en-US"/>
              </w:rPr>
              <w:t xml:space="preserve"> Trust is a great example of the dedication </w:t>
            </w:r>
            <w:r>
              <w:rPr>
                <w:rFonts w:ascii="Arial" w:hAnsi="Arial" w:cs="Arial"/>
                <w:color w:val="231F20"/>
                <w:sz w:val="20"/>
                <w:szCs w:val="20"/>
                <w:lang w:val="en-US"/>
              </w:rPr>
              <w:t>Goodman</w:t>
            </w:r>
            <w:r w:rsidRPr="00486301">
              <w:rPr>
                <w:rFonts w:ascii="Arial" w:hAnsi="Arial" w:cs="Arial"/>
                <w:color w:val="231F20"/>
                <w:sz w:val="20"/>
                <w:szCs w:val="20"/>
                <w:lang w:val="en-US"/>
              </w:rPr>
              <w:t xml:space="preserve"> has to the wellbeing of its associates and their families.</w:t>
            </w:r>
          </w:p>
        </w:tc>
        <w:tc>
          <w:tcPr>
            <w:tcW w:w="4786" w:type="dxa"/>
            <w:shd w:val="clear" w:color="auto" w:fill="auto"/>
          </w:tcPr>
          <w:p w14:paraId="52D0EECF" w14:textId="77777777" w:rsidR="00C700CA" w:rsidRPr="00C700CA" w:rsidRDefault="00C700CA" w:rsidP="00C700CA">
            <w:pPr>
              <w:jc w:val="both"/>
              <w:rPr>
                <w:rFonts w:ascii="Arial" w:hAnsi="Arial" w:cs="Arial"/>
                <w:sz w:val="20"/>
                <w:szCs w:val="20"/>
              </w:rPr>
            </w:pPr>
            <w:r w:rsidRPr="00C700CA">
              <w:rPr>
                <w:rFonts w:ascii="Arial" w:hAnsi="Arial" w:cs="Arial"/>
                <w:sz w:val="20"/>
                <w:szCs w:val="20"/>
                <w:lang w:val="ru"/>
              </w:rPr>
              <w:t xml:space="preserve">Ещё одним способом выражения благодарности сотрудникам компании Goodman является создание благотворительного фонда.  Любой сотрудник компании Goodman имеет право обратиться к благотворительному фонду как для получения финансовой помощи на обучение, так и в случае непредвиденных обстоятельств. Многие сотрудники прибегли к помощи фонда в случаях приобретения высшего образования и непредвиденных обстоятельств в следствии стихийных бедствий. Благотворительный фонд является прекрасным примером обеспечения благополучия сотрудников и их семей компанией </w:t>
            </w:r>
            <w:proofErr w:type="spellStart"/>
            <w:r w:rsidRPr="00C700CA">
              <w:rPr>
                <w:rFonts w:ascii="Arial" w:hAnsi="Arial" w:cs="Arial"/>
                <w:sz w:val="20"/>
                <w:szCs w:val="20"/>
                <w:lang w:val="ru"/>
              </w:rPr>
              <w:t>Goodman</w:t>
            </w:r>
            <w:proofErr w:type="spellEnd"/>
            <w:r w:rsidRPr="00C700CA">
              <w:rPr>
                <w:rFonts w:ascii="Arial" w:hAnsi="Arial" w:cs="Arial"/>
                <w:sz w:val="20"/>
                <w:szCs w:val="20"/>
                <w:lang w:val="ru"/>
              </w:rPr>
              <w:t>.</w:t>
            </w:r>
          </w:p>
          <w:p w14:paraId="6A7D0189" w14:textId="77777777" w:rsidR="0091456A" w:rsidRPr="00C700CA" w:rsidRDefault="0091456A" w:rsidP="00267CDB">
            <w:pPr>
              <w:jc w:val="both"/>
              <w:rPr>
                <w:rFonts w:ascii="Arial" w:hAnsi="Arial" w:cs="Arial"/>
                <w:sz w:val="20"/>
                <w:szCs w:val="20"/>
                <w:lang w:val="en-US"/>
              </w:rPr>
            </w:pPr>
          </w:p>
        </w:tc>
      </w:tr>
      <w:tr w:rsidR="0091456A" w:rsidRPr="00421BDC" w14:paraId="3EC6A207" w14:textId="77777777" w:rsidTr="0026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4857" w:type="dxa"/>
            <w:shd w:val="clear" w:color="auto" w:fill="auto"/>
          </w:tcPr>
          <w:p w14:paraId="13F405A7" w14:textId="77777777" w:rsidR="0091456A" w:rsidRPr="00B53A72" w:rsidRDefault="00B53A72" w:rsidP="00421BDC">
            <w:pPr>
              <w:shd w:val="clear" w:color="auto" w:fill="FFFFFF"/>
              <w:jc w:val="both"/>
              <w:rPr>
                <w:rFonts w:asciiTheme="minorHAnsi" w:hAnsiTheme="minorHAnsi"/>
                <w:lang w:val="en-US"/>
              </w:rPr>
            </w:pPr>
            <w:r w:rsidRPr="00B53A72">
              <w:rPr>
                <w:rFonts w:ascii="Palatino" w:hAnsi="Palatino"/>
                <w:lang w:val="en-US"/>
              </w:rPr>
              <w:t>Patton is one of the few films that clearly and consistently touches on the core elements of leadership. The film won 7 Academy Awards—not only because of the haunting cinematography, the raw dialogue, and the sharp imagery, but also because of what it reveals about leadership.</w:t>
            </w:r>
          </w:p>
          <w:p w14:paraId="13898680" w14:textId="77777777" w:rsidR="00B53A72" w:rsidRPr="00B53A72" w:rsidRDefault="00B53A72" w:rsidP="00421BDC">
            <w:pPr>
              <w:shd w:val="clear" w:color="auto" w:fill="FFFFFF"/>
              <w:jc w:val="both"/>
              <w:rPr>
                <w:rFonts w:ascii="Palatino" w:hAnsi="Palatino"/>
                <w:lang w:val="en-US"/>
              </w:rPr>
            </w:pPr>
            <w:r w:rsidRPr="00B53A72">
              <w:rPr>
                <w:rFonts w:ascii="Palatino" w:hAnsi="Palatino"/>
                <w:lang w:val="en-US"/>
              </w:rPr>
              <w:lastRenderedPageBreak/>
              <w:t>The film juxtaposes several perspectives on leadership—the sharp contrast between the impetuous and passionate General Patton and the sober and cerebral German Field Marshall, Rommel.</w:t>
            </w:r>
          </w:p>
          <w:p w14:paraId="1DF9A422" w14:textId="77777777" w:rsidR="00B53A72" w:rsidRPr="00B53A72" w:rsidRDefault="00B53A72" w:rsidP="00B53A72">
            <w:pPr>
              <w:shd w:val="clear" w:color="auto" w:fill="FFFFFF"/>
              <w:jc w:val="both"/>
              <w:rPr>
                <w:rFonts w:ascii="Palatino" w:hAnsi="Palatino"/>
                <w:lang w:val="en-US"/>
              </w:rPr>
            </w:pPr>
            <w:r w:rsidRPr="00B53A72">
              <w:rPr>
                <w:rFonts w:ascii="Palatino" w:hAnsi="Palatino"/>
                <w:lang w:val="en-US"/>
              </w:rPr>
              <w:t>The film leaves open for exploration a fundamental question ― “What, actually, is</w:t>
            </w:r>
          </w:p>
          <w:p w14:paraId="0D1A78B5" w14:textId="77777777" w:rsidR="00B53A72" w:rsidRPr="00B53A72" w:rsidRDefault="00B53A72" w:rsidP="00B53A72">
            <w:pPr>
              <w:shd w:val="clear" w:color="auto" w:fill="FFFFFF"/>
              <w:jc w:val="both"/>
              <w:rPr>
                <w:rFonts w:asciiTheme="minorHAnsi" w:hAnsiTheme="minorHAnsi"/>
                <w:sz w:val="22"/>
                <w:szCs w:val="22"/>
                <w:lang w:val="en-US"/>
              </w:rPr>
            </w:pPr>
            <w:r w:rsidRPr="00B53A72">
              <w:rPr>
                <w:rFonts w:ascii="Palatino" w:hAnsi="Palatino"/>
                <w:lang w:val="en-US"/>
              </w:rPr>
              <w:t>great leadership?”</w:t>
            </w:r>
          </w:p>
        </w:tc>
        <w:tc>
          <w:tcPr>
            <w:tcW w:w="4786" w:type="dxa"/>
            <w:shd w:val="clear" w:color="auto" w:fill="auto"/>
          </w:tcPr>
          <w:p w14:paraId="2B23C1E6" w14:textId="77777777" w:rsidR="00C700CA" w:rsidRPr="00C700CA" w:rsidRDefault="00C700CA" w:rsidP="00C700CA">
            <w:pPr>
              <w:jc w:val="both"/>
              <w:rPr>
                <w:rFonts w:ascii="Palatino Linotype" w:hAnsi="Palatino Linotype"/>
              </w:rPr>
            </w:pPr>
            <w:proofErr w:type="spellStart"/>
            <w:r w:rsidRPr="00C700CA">
              <w:rPr>
                <w:rFonts w:ascii="Palatino Linotype" w:hAnsi="Palatino Linotype"/>
                <w:lang w:val="ru"/>
              </w:rPr>
              <w:lastRenderedPageBreak/>
              <w:t>Паттон</w:t>
            </w:r>
            <w:proofErr w:type="spellEnd"/>
            <w:r w:rsidRPr="00C700CA">
              <w:rPr>
                <w:rFonts w:ascii="Palatino Linotype" w:hAnsi="Palatino Linotype"/>
                <w:lang w:val="ru"/>
              </w:rPr>
              <w:t xml:space="preserve"> - один из немногих фильмов, в котором четко и последовательно затрагиваются основы лидерства. Фильм получил 7 премий "Оскар" — не только за запоминающуюся работу оператора, но и грубые диалоги, четкие </w:t>
            </w:r>
            <w:r w:rsidRPr="00C700CA">
              <w:rPr>
                <w:rFonts w:ascii="Palatino Linotype" w:hAnsi="Palatino Linotype"/>
                <w:lang w:val="ru"/>
              </w:rPr>
              <w:lastRenderedPageBreak/>
              <w:t>образы, а также за то, что он раскрывает тему лидерства.</w:t>
            </w:r>
          </w:p>
          <w:p w14:paraId="15D2603D" w14:textId="77777777" w:rsidR="00C700CA" w:rsidRPr="00C700CA" w:rsidRDefault="00C700CA" w:rsidP="00C700CA">
            <w:pPr>
              <w:jc w:val="both"/>
              <w:rPr>
                <w:rFonts w:ascii="Palatino Linotype" w:hAnsi="Palatino Linotype"/>
              </w:rPr>
            </w:pPr>
            <w:r w:rsidRPr="00C700CA">
              <w:rPr>
                <w:rFonts w:ascii="Palatino Linotype" w:hAnsi="Palatino Linotype"/>
                <w:lang w:val="ru"/>
              </w:rPr>
              <w:t xml:space="preserve">В фильме лидерство представлено несколькими способами. Мы можем наблюдать резкий контраст между импульсивным, страстным генералом </w:t>
            </w:r>
            <w:proofErr w:type="spellStart"/>
            <w:r w:rsidRPr="00C700CA">
              <w:rPr>
                <w:rFonts w:ascii="Palatino Linotype" w:hAnsi="Palatino Linotype"/>
                <w:lang w:val="ru"/>
              </w:rPr>
              <w:t>Паттоном</w:t>
            </w:r>
            <w:proofErr w:type="spellEnd"/>
            <w:r w:rsidRPr="00C700CA">
              <w:rPr>
                <w:rFonts w:ascii="Palatino Linotype" w:hAnsi="Palatino Linotype"/>
                <w:lang w:val="ru"/>
              </w:rPr>
              <w:t xml:space="preserve"> и здравым, рассудительным немецким фельдмаршалом </w:t>
            </w:r>
            <w:proofErr w:type="spellStart"/>
            <w:r w:rsidRPr="00C700CA">
              <w:rPr>
                <w:rFonts w:ascii="Palatino Linotype" w:hAnsi="Palatino Linotype"/>
                <w:lang w:val="ru"/>
              </w:rPr>
              <w:t>Роммелем</w:t>
            </w:r>
            <w:proofErr w:type="spellEnd"/>
            <w:r w:rsidRPr="00C700CA">
              <w:rPr>
                <w:rFonts w:ascii="Palatino Linotype" w:hAnsi="Palatino Linotype"/>
                <w:lang w:val="ru"/>
              </w:rPr>
              <w:t>.</w:t>
            </w:r>
          </w:p>
          <w:p w14:paraId="6D6EAF9A" w14:textId="77777777" w:rsidR="00C700CA" w:rsidRPr="00C700CA" w:rsidRDefault="00C700CA" w:rsidP="00C700CA">
            <w:pPr>
              <w:jc w:val="both"/>
              <w:rPr>
                <w:rFonts w:ascii="Palatino Linotype" w:hAnsi="Palatino Linotype"/>
              </w:rPr>
            </w:pPr>
            <w:r w:rsidRPr="00C700CA">
              <w:rPr>
                <w:rFonts w:ascii="Palatino Linotype" w:hAnsi="Palatino Linotype"/>
                <w:lang w:val="ru"/>
              </w:rPr>
              <w:t>Фильм оставляет открытым для изучения основополагающий вопрос: “Что же такое исключительное лидерство?”</w:t>
            </w:r>
          </w:p>
          <w:p w14:paraId="4B956EC0" w14:textId="77777777" w:rsidR="0091456A" w:rsidRPr="00C700CA" w:rsidRDefault="0091456A" w:rsidP="00267CDB">
            <w:pPr>
              <w:spacing w:after="60"/>
              <w:rPr>
                <w:rFonts w:ascii="Palatino Linotype" w:hAnsi="Palatino Linotype"/>
                <w:bCs/>
              </w:rPr>
            </w:pPr>
          </w:p>
        </w:tc>
      </w:tr>
      <w:tr w:rsidR="00D65B22" w:rsidRPr="00C700CA" w14:paraId="37DD2136" w14:textId="77777777" w:rsidTr="0026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4857" w:type="dxa"/>
            <w:shd w:val="clear" w:color="auto" w:fill="auto"/>
          </w:tcPr>
          <w:p w14:paraId="6542BE0F" w14:textId="77777777" w:rsidR="00D65B22" w:rsidRPr="00595415" w:rsidRDefault="00C6759E" w:rsidP="00C6759E">
            <w:r>
              <w:lastRenderedPageBreak/>
              <w:t>Как следствие совместной работы на постоянной основе за</w:t>
            </w:r>
            <w:r w:rsidRPr="00595415">
              <w:t xml:space="preserve"> </w:t>
            </w:r>
            <w:r>
              <w:t>круглым столом, помимо крайне необходимого контакта</w:t>
            </w:r>
            <w:r w:rsidRPr="00595415">
              <w:t xml:space="preserve"> </w:t>
            </w:r>
            <w:r>
              <w:t>лицом к лицу, происходит налаживание взаимопонимания.</w:t>
            </w:r>
            <w:r w:rsidRPr="00595415">
              <w:t xml:space="preserve"> </w:t>
            </w:r>
            <w:r>
              <w:t>Ранее это заменяла длительная переписка как на</w:t>
            </w:r>
            <w:r w:rsidRPr="00595415">
              <w:t xml:space="preserve"> </w:t>
            </w:r>
            <w:r>
              <w:t>государственном, так и частном уровнях, что объективно</w:t>
            </w:r>
            <w:r w:rsidRPr="00595415">
              <w:t xml:space="preserve"> </w:t>
            </w:r>
            <w:r>
              <w:t>тормозило процесс - тратились энергия, активность и</w:t>
            </w:r>
            <w:r w:rsidRPr="00595415">
              <w:t xml:space="preserve"> </w:t>
            </w:r>
            <w:r>
              <w:t>самый ценный в наши дни ресурс – время. Взаимопонимание</w:t>
            </w:r>
            <w:r w:rsidRPr="00595415">
              <w:t xml:space="preserve"> </w:t>
            </w:r>
            <w:r>
              <w:t>стимулирует развитие доверия – которого в прошлом также</w:t>
            </w:r>
            <w:r w:rsidRPr="00595415">
              <w:t xml:space="preserve"> </w:t>
            </w:r>
            <w:r>
              <w:t>не хватало, а мировой опыт учит, что отсутствие доверия</w:t>
            </w:r>
            <w:r w:rsidRPr="00595415">
              <w:t xml:space="preserve"> </w:t>
            </w:r>
            <w:r>
              <w:t>сводит все усилия в подавляющем большинстве к нулевому</w:t>
            </w:r>
            <w:r w:rsidRPr="00595415">
              <w:t xml:space="preserve"> </w:t>
            </w:r>
            <w:r>
              <w:t>результату.</w:t>
            </w:r>
            <w:r w:rsidRPr="00595415">
              <w:t xml:space="preserve"> </w:t>
            </w:r>
          </w:p>
        </w:tc>
        <w:tc>
          <w:tcPr>
            <w:tcW w:w="4786" w:type="dxa"/>
            <w:shd w:val="clear" w:color="auto" w:fill="auto"/>
          </w:tcPr>
          <w:p w14:paraId="17823BDB" w14:textId="454FFED4" w:rsidR="00595415" w:rsidRPr="0063213A" w:rsidRDefault="00595415" w:rsidP="00595415">
            <w:pPr>
              <w:rPr>
                <w:lang w:val="en-US"/>
              </w:rPr>
            </w:pPr>
            <w:r w:rsidRPr="00322FE5">
              <w:rPr>
                <w:lang w:val="en"/>
              </w:rPr>
              <w:t xml:space="preserve">As a result of round table ongoing </w:t>
            </w:r>
            <w:r w:rsidR="00C700CA">
              <w:rPr>
                <w:lang w:val="en"/>
              </w:rPr>
              <w:t>talks</w:t>
            </w:r>
            <w:r w:rsidRPr="00322FE5">
              <w:rPr>
                <w:lang w:val="en"/>
              </w:rPr>
              <w:t>, in addition to the much-needed face-to-face contact, mutual understanding is being established. Previously, a long letter exchange on both public and private levels, used to be a way to reach agreement, which objectively slowed down the process. Much energy and time was spent, which is the most valuable resource in our days. Mutual understanding stimulates the development of trust – which was also lacking in the past. In the vast majority, history shows us that lack of trust reduces all efforts to zero.</w:t>
            </w:r>
          </w:p>
          <w:p w14:paraId="4C822548" w14:textId="77777777" w:rsidR="00D65B22" w:rsidRPr="00C700CA" w:rsidRDefault="00D65B22" w:rsidP="00D65B22">
            <w:pPr>
              <w:spacing w:after="60"/>
              <w:rPr>
                <w:sz w:val="22"/>
                <w:szCs w:val="22"/>
                <w:lang w:val="en-US"/>
              </w:rPr>
            </w:pPr>
          </w:p>
        </w:tc>
      </w:tr>
      <w:tr w:rsidR="00D65B22" w:rsidRPr="00C700CA" w14:paraId="6F0E2D06" w14:textId="77777777" w:rsidTr="0026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6"/>
        </w:trPr>
        <w:tc>
          <w:tcPr>
            <w:tcW w:w="4857" w:type="dxa"/>
            <w:shd w:val="clear" w:color="auto" w:fill="auto"/>
          </w:tcPr>
          <w:p w14:paraId="394FD73B" w14:textId="77777777" w:rsidR="00D65B22" w:rsidRPr="00966155" w:rsidRDefault="00D65B22" w:rsidP="00D65B22">
            <w:pPr>
              <w:rPr>
                <w:lang w:val="en-US"/>
              </w:rPr>
            </w:pPr>
            <w:r w:rsidRPr="00966155">
              <w:rPr>
                <w:lang w:val="en-US"/>
              </w:rPr>
              <w:t>The objects for which the Company is established are:</w:t>
            </w:r>
          </w:p>
          <w:p w14:paraId="4700B844" w14:textId="77777777" w:rsidR="00D65B22" w:rsidRPr="00D65B22" w:rsidRDefault="00D65B22" w:rsidP="00D65B22">
            <w:pPr>
              <w:tabs>
                <w:tab w:val="num" w:pos="0"/>
              </w:tabs>
              <w:ind w:left="72"/>
              <w:jc w:val="both"/>
              <w:rPr>
                <w:sz w:val="22"/>
                <w:szCs w:val="22"/>
                <w:lang w:val="en-US"/>
              </w:rPr>
            </w:pPr>
            <w:r w:rsidRPr="00966155">
              <w:rPr>
                <w:lang w:val="en-US"/>
              </w:rPr>
              <w:t>To carry on</w:t>
            </w:r>
            <w:r>
              <w:rPr>
                <w:lang w:val="en-US"/>
              </w:rPr>
              <w:t xml:space="preserve"> any other business or activity</w:t>
            </w:r>
            <w:r w:rsidRPr="00966155">
              <w:rPr>
                <w:lang w:val="en-US"/>
              </w:rPr>
              <w:t xml:space="preserve"> which may seem to the Directors capable of being conveniently or advantageously carried on or done in connection with any of the above objects or calculated directly or indirectly to enhance the value of or render more profitable any of the Company's business property or rights.</w:t>
            </w:r>
          </w:p>
        </w:tc>
        <w:tc>
          <w:tcPr>
            <w:tcW w:w="4786" w:type="dxa"/>
            <w:shd w:val="clear" w:color="auto" w:fill="auto"/>
          </w:tcPr>
          <w:p w14:paraId="110954E1" w14:textId="77777777" w:rsidR="00C700CA" w:rsidRPr="00C700CA" w:rsidRDefault="00C700CA" w:rsidP="00C700CA">
            <w:pPr>
              <w:jc w:val="both"/>
            </w:pPr>
            <w:r w:rsidRPr="00C700CA">
              <w:t xml:space="preserve">Задачами компании являются: </w:t>
            </w:r>
          </w:p>
          <w:p w14:paraId="2E09E9F8" w14:textId="77777777" w:rsidR="00C700CA" w:rsidRPr="00C700CA" w:rsidRDefault="00C700CA" w:rsidP="00C700CA">
            <w:pPr>
              <w:jc w:val="both"/>
            </w:pPr>
            <w:r w:rsidRPr="00C700CA">
              <w:t>Ведение любого другого бизнеса или деятельности, которые, по мнению директоров, могут быть выгодны или осуществлены в связи с любой из вышеуказанных целей. Рассчитаны прямо или косвенно на увеличение стоимости или прибыльности любой коммерческой собственности, или прав компании.</w:t>
            </w:r>
          </w:p>
          <w:p w14:paraId="01A9EDA3" w14:textId="77777777" w:rsidR="00D65B22" w:rsidRPr="00C700CA" w:rsidRDefault="00D65B22" w:rsidP="00D65B22">
            <w:pPr>
              <w:jc w:val="both"/>
              <w:rPr>
                <w:sz w:val="22"/>
                <w:szCs w:val="22"/>
              </w:rPr>
            </w:pPr>
          </w:p>
        </w:tc>
      </w:tr>
    </w:tbl>
    <w:p w14:paraId="0DE242D5" w14:textId="77777777" w:rsidR="0091456A" w:rsidRPr="00C700CA" w:rsidRDefault="0091456A" w:rsidP="0091456A"/>
    <w:p w14:paraId="3C2AA9F0" w14:textId="77777777" w:rsidR="0091456A" w:rsidRDefault="0091456A" w:rsidP="0091456A">
      <w:pPr>
        <w:jc w:val="center"/>
      </w:pPr>
      <w:r w:rsidRPr="00017EA4">
        <w:rPr>
          <w:b/>
          <w:bCs/>
          <w:sz w:val="22"/>
        </w:rPr>
        <w:t>БЛАГОДАРИМ ЗА УЧАСТИЕ В ТЕСТИРОВАНИИ!</w:t>
      </w:r>
    </w:p>
    <w:p w14:paraId="4BC63DBE" w14:textId="77777777" w:rsidR="003C650F" w:rsidRDefault="003C650F"/>
    <w:sectPr w:rsidR="003C6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97D"/>
    <w:multiLevelType w:val="multilevel"/>
    <w:tmpl w:val="1C6CC53C"/>
    <w:lvl w:ilvl="0">
      <w:start w:val="1"/>
      <w:numFmt w:val="decimal"/>
      <w:pStyle w:val="Bodysubclause"/>
      <w:lvlText w:val="%1."/>
      <w:lvlJc w:val="left"/>
      <w:pPr>
        <w:tabs>
          <w:tab w:val="num" w:pos="720"/>
        </w:tabs>
        <w:ind w:left="720" w:hanging="720"/>
      </w:pPr>
      <w:rPr>
        <w:rFonts w:ascii="Arial" w:hAnsi="Arial" w:hint="default"/>
        <w:b/>
        <w:i w:val="0"/>
        <w:caps w:val="0"/>
        <w:smallCaps w:val="0"/>
        <w:sz w:val="22"/>
      </w:rPr>
    </w:lvl>
    <w:lvl w:ilvl="1">
      <w:start w:val="1"/>
      <w:numFmt w:val="decimal"/>
      <w:pStyle w:val="Bodypara"/>
      <w:lvlText w:val="%1.%2"/>
      <w:lvlJc w:val="left"/>
      <w:pPr>
        <w:tabs>
          <w:tab w:val="num" w:pos="720"/>
        </w:tabs>
        <w:ind w:left="720" w:hanging="720"/>
      </w:pPr>
      <w:rPr>
        <w:rFonts w:ascii="Arial" w:hAnsi="Arial" w:hint="default"/>
        <w:b w:val="0"/>
        <w:i w:val="0"/>
        <w:caps w:val="0"/>
        <w:sz w:val="22"/>
      </w:rPr>
    </w:lvl>
    <w:lvl w:ilvl="2">
      <w:start w:val="1"/>
      <w:numFmt w:val="decimal"/>
      <w:lvlText w:val="%1.%2.%3"/>
      <w:lvlJc w:val="left"/>
      <w:pPr>
        <w:tabs>
          <w:tab w:val="num" w:pos="3545"/>
        </w:tabs>
        <w:ind w:left="3545" w:hanging="567"/>
      </w:pPr>
      <w:rPr>
        <w:rFonts w:ascii="Arial" w:hAnsi="Arial" w:hint="default"/>
        <w:b w:val="0"/>
        <w:i w:val="0"/>
        <w:sz w:val="22"/>
      </w:rPr>
    </w:lvl>
    <w:lvl w:ilvl="3">
      <w:start w:val="1"/>
      <w:numFmt w:val="lowerLetter"/>
      <w:pStyle w:val="Definitions"/>
      <w:lvlText w:val="(%4)"/>
      <w:lvlJc w:val="left"/>
      <w:pPr>
        <w:tabs>
          <w:tab w:val="num" w:pos="2421"/>
        </w:tabs>
        <w:ind w:left="2268" w:hanging="567"/>
      </w:pPr>
      <w:rPr>
        <w:rFonts w:ascii="Arial" w:hAnsi="Arial" w:hint="default"/>
        <w:b w:val="0"/>
        <w:i w:val="0"/>
        <w:sz w:val="22"/>
      </w:rPr>
    </w:lvl>
    <w:lvl w:ilvl="4">
      <w:start w:val="1"/>
      <w:numFmt w:val="lowerRoman"/>
      <w:lvlText w:val="(%5)"/>
      <w:lvlJc w:val="left"/>
      <w:pPr>
        <w:tabs>
          <w:tab w:val="num" w:pos="2880"/>
        </w:tabs>
        <w:ind w:left="2880" w:hanging="720"/>
      </w:pPr>
      <w:rPr>
        <w:rFonts w:ascii="Arial" w:eastAsia="Times New Roman" w:hAnsi="Arial" w:cs="Arial"/>
        <w:b w:val="0"/>
        <w:i w:val="0"/>
        <w:sz w:val="22"/>
      </w:rPr>
    </w:lvl>
    <w:lvl w:ilvl="5">
      <w:start w:val="1"/>
      <w:numFmt w:val="decimal"/>
      <w:lvlText w:val="%6."/>
      <w:lvlJc w:val="left"/>
      <w:pPr>
        <w:tabs>
          <w:tab w:val="num" w:pos="3600"/>
        </w:tabs>
        <w:ind w:left="3600" w:hanging="720"/>
      </w:pPr>
      <w:rPr>
        <w:rFonts w:ascii="Arial" w:hAnsi="Arial" w:hint="default"/>
        <w:b/>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74083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6A"/>
    <w:rsid w:val="00101C4C"/>
    <w:rsid w:val="00195A1C"/>
    <w:rsid w:val="00367ED0"/>
    <w:rsid w:val="003C650F"/>
    <w:rsid w:val="00421BDC"/>
    <w:rsid w:val="00595415"/>
    <w:rsid w:val="0091456A"/>
    <w:rsid w:val="00B53A72"/>
    <w:rsid w:val="00C6759E"/>
    <w:rsid w:val="00C700CA"/>
    <w:rsid w:val="00D65B22"/>
    <w:rsid w:val="00DF3F70"/>
    <w:rsid w:val="00E128FF"/>
    <w:rsid w:val="00FD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BE1B"/>
  <w15:docId w15:val="{F52B3B6D-3296-4776-8528-6C31683B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56A"/>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91456A"/>
    <w:pPr>
      <w:widowControl w:val="0"/>
      <w:autoSpaceDE w:val="0"/>
      <w:autoSpaceDN w:val="0"/>
      <w:adjustRightInd w:val="0"/>
      <w:spacing w:line="192" w:lineRule="exact"/>
      <w:jc w:val="both"/>
    </w:pPr>
    <w:rPr>
      <w:rFonts w:eastAsia="Times New Roman"/>
      <w:lang w:eastAsia="ru-RU"/>
    </w:rPr>
  </w:style>
  <w:style w:type="character" w:customStyle="1" w:styleId="FontStyle45">
    <w:name w:val="Font Style45"/>
    <w:rsid w:val="0091456A"/>
    <w:rPr>
      <w:rFonts w:ascii="Times New Roman" w:hAnsi="Times New Roman" w:cs="Times New Roman"/>
      <w:color w:val="000000"/>
      <w:sz w:val="16"/>
      <w:szCs w:val="16"/>
    </w:rPr>
  </w:style>
  <w:style w:type="paragraph" w:customStyle="1" w:styleId="Bodysubclause">
    <w:name w:val="Body  sub clause"/>
    <w:basedOn w:val="a"/>
    <w:rsid w:val="0091456A"/>
    <w:pPr>
      <w:numPr>
        <w:numId w:val="1"/>
      </w:numPr>
    </w:pPr>
    <w:rPr>
      <w:rFonts w:eastAsia="Times New Roman"/>
      <w:sz w:val="20"/>
      <w:szCs w:val="20"/>
      <w:lang w:val="en-US" w:eastAsia="en-US"/>
    </w:rPr>
  </w:style>
  <w:style w:type="paragraph" w:customStyle="1" w:styleId="Bodypara">
    <w:name w:val="Body para"/>
    <w:basedOn w:val="a"/>
    <w:rsid w:val="0091456A"/>
    <w:pPr>
      <w:numPr>
        <w:ilvl w:val="1"/>
        <w:numId w:val="1"/>
      </w:numPr>
    </w:pPr>
    <w:rPr>
      <w:rFonts w:eastAsia="Times New Roman"/>
      <w:sz w:val="20"/>
      <w:szCs w:val="20"/>
      <w:lang w:val="en-US" w:eastAsia="en-US"/>
    </w:rPr>
  </w:style>
  <w:style w:type="paragraph" w:customStyle="1" w:styleId="Definitions">
    <w:name w:val="Definitions"/>
    <w:basedOn w:val="a"/>
    <w:rsid w:val="0091456A"/>
    <w:pPr>
      <w:numPr>
        <w:ilvl w:val="3"/>
        <w:numId w:val="1"/>
      </w:numPr>
    </w:pPr>
    <w:rPr>
      <w:rFonts w:eastAsia="Times New Roman"/>
      <w:sz w:val="20"/>
      <w:szCs w:val="20"/>
      <w:lang w:val="en-US" w:eastAsia="en-US"/>
    </w:rPr>
  </w:style>
  <w:style w:type="paragraph" w:styleId="a3">
    <w:name w:val="Body Text"/>
    <w:basedOn w:val="a"/>
    <w:link w:val="a4"/>
    <w:uiPriority w:val="1"/>
    <w:qFormat/>
    <w:rsid w:val="00D65B22"/>
    <w:pPr>
      <w:widowControl w:val="0"/>
    </w:pPr>
    <w:rPr>
      <w:rFonts w:eastAsia="Times New Roman"/>
      <w:sz w:val="43"/>
      <w:szCs w:val="43"/>
      <w:lang w:val="en-US" w:eastAsia="en-US"/>
    </w:rPr>
  </w:style>
  <w:style w:type="character" w:customStyle="1" w:styleId="a4">
    <w:name w:val="Основной текст Знак"/>
    <w:basedOn w:val="a0"/>
    <w:link w:val="a3"/>
    <w:uiPriority w:val="1"/>
    <w:rsid w:val="00D65B22"/>
    <w:rPr>
      <w:rFonts w:ascii="Times New Roman" w:eastAsia="Times New Roman" w:hAnsi="Times New Roman" w:cs="Times New Roman"/>
      <w:sz w:val="43"/>
      <w:szCs w:val="4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Караева</cp:lastModifiedBy>
  <cp:revision>10</cp:revision>
  <dcterms:created xsi:type="dcterms:W3CDTF">2016-11-15T15:00:00Z</dcterms:created>
  <dcterms:modified xsi:type="dcterms:W3CDTF">2022-07-07T07:21:00Z</dcterms:modified>
</cp:coreProperties>
</file>