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3E77DB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375" w:before="0" w:after="150"/>
        <w:ind w:firstLine="0" w:left="0" w:right="0"/>
        <w:jc w:val="both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Артроскопия коленного сустава: новейшие достижения малоинвазивной хирургии</w:t>
      </w:r>
    </w:p>
    <w:p>
      <w:pPr>
        <w:spacing w:lineRule="atLeast" w:line="375"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Артроскопия -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современная малотравматичная процедура диагностики и лечения. Техника проведения операции предполагает небольшой кожный надрез, в который вводится специальная камера. После этого специалист может проводить следующие действия:</w:t>
      </w:r>
    </w:p>
    <w:p>
      <w:pPr>
        <w:numPr>
          <w:ilvl w:val="0"/>
          <w:numId w:val="1"/>
        </w:num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выравнивание сустава колена;</w:t>
      </w:r>
    </w:p>
    <w:p>
      <w:pPr>
        <w:numPr>
          <w:ilvl w:val="0"/>
          <w:numId w:val="1"/>
        </w:num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сшивание или удаление поврежденных частей мениска;</w:t>
      </w:r>
    </w:p>
    <w:p>
      <w:pPr>
        <w:numPr>
          <w:ilvl w:val="0"/>
          <w:numId w:val="1"/>
        </w:num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лечение повреждений крестообразной связки или хряща.</w:t>
      </w:r>
    </w:p>
    <w:p>
      <w:pPr>
        <w:spacing w:lineRule="atLeast" w:line="375"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Как правило,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операция проводится в амбулаторных условиях или на д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невном стационаре. </w:t>
      </w:r>
    </w:p>
    <w:p>
      <w:pPr>
        <w:spacing w:lineRule="atLeast" w:line="375" w:before="0" w:after="150"/>
        <w:ind w:firstLine="0" w:left="0" w:right="0"/>
        <w:jc w:val="both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Уход после операции</w:t>
      </w:r>
    </w:p>
    <w:p>
      <w:pPr>
        <w:spacing w:lineRule="atLeast" w:line="375"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 зависимости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от вида и продолжительности лечения, нагрузку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на коленный сустав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можно восстанавливать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как постепенно, так и сразу. Дополнительно проводится профилактика тромбо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в и занятия лечебной физкультурой.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</w:t>
      </w:r>
    </w:p>
    <w:p>
      <w:pPr>
        <w:spacing w:lineRule="atLeast" w:line="375"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Сам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ый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крупн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ый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суст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ав человека - коленный. Его образуют голень, бедро, а также коленная чашечка, которую сверху покрывает плотный хрящевой слой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Между скользя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щими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поверхностями голени и бедра располагается мениск, который служит для переноса центра тяжести при ходьбе.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Внушительные нагрузки на колено при его внутренних повреждениях приводят к артрозу - преждевременному износу суставных тканей. </w:t>
      </w:r>
    </w:p>
    <w:p>
      <w:pPr>
        <w:spacing w:lineRule="atLeast" w:line="375"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Эндоскопическое проведение оп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ерации позволяет ликвидировать патологические проявления в колене, не делая открытого разреза. Таким образом,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сохраняется или восстанавливаетс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я нормальная функция сустава. </w:t>
      </w:r>
    </w:p>
    <w:p>
      <w:pPr>
        <w:spacing w:lineRule="atLeast" w:line="375" w:before="0" w:after="150"/>
        <w:ind w:firstLine="0" w:left="0" w:right="0"/>
        <w:jc w:val="both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Каковы показания к эндоскопии?</w:t>
      </w:r>
    </w:p>
    <w:p>
      <w:pPr>
        <w:spacing w:lineRule="atLeast" w:line="375" w:before="0" w:after="15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Если неуда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чное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движение или травма вызвали боли с последующим опуханием колена, это может быть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вызвано повреждением структур внутри коленного суст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ва- хрящей или крестообразной связки.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В случае износа суст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ава дополнительных факторов для возникновения повреждения не требуется. Сигналом к необходимости опера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тивного вмешательства могут служить:</w:t>
      </w:r>
    </w:p>
    <w:p>
      <w:pPr>
        <w:numPr>
          <w:ilvl w:val="0"/>
          <w:numId w:val="2"/>
        </w:num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двигательные ограничения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;</w:t>
      </w:r>
    </w:p>
    <w:p>
      <w:pPr>
        <w:numPr>
          <w:ilvl w:val="0"/>
          <w:numId w:val="2"/>
        </w:num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сильные боли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;</w:t>
      </w:r>
    </w:p>
    <w:p>
      <w:pPr>
        <w:numPr>
          <w:ilvl w:val="0"/>
          <w:numId w:val="2"/>
        </w:num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чувство неустойчивости при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ходьбе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Если нагрузка на колено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заметно снижена, но при этом не происходит уменьшени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боли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, необходима 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артроскопия коленного сустава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Проведение МРТ помогает прояснить клиническую картину при неточном или спорном диагнозе.</w:t>
      </w:r>
    </w:p>
    <w:p>
      <w:pPr>
        <w:spacing w:lineRule="atLeast" w:line="375" w:before="0" w:after="150"/>
        <w:ind w:right="0"/>
        <w:jc w:val="both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Проведение операции</w:t>
      </w:r>
    </w:p>
    <w:p>
      <w:p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Для проведения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хирургического вмешательства 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спользуется полный наркоз, что помогает сделать процедуру мак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симально безболезненной и преимущественно бескровной.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Специалист вводит миниатюрные хирургические инструменты и камеру через небольшие кожные надрезы, после чего изучает изображение с монитора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При разрыве мениска патологический очаг, вызывающий боль, удал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яется хирургическими инструментами до области здоровой ткани.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Определенные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формы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разрыва позволяют сшивать пораженные края мениска, позволяя полностью сохранить его.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Современные методики позволяют использовать шовные анкеры. </w:t>
      </w:r>
    </w:p>
    <w:p>
      <w:p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Также артроскопия актуальна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при лечении повреждений хряща. В случае полного разрыва крестообразной связки, может проводиться операция, предполагающая использование аутогенной ткани сухожилий. </w:t>
      </w:r>
    </w:p>
    <w:p>
      <w:pPr>
        <w:spacing w:lineRule="atLeast" w:line="375" w:before="0" w:after="150"/>
        <w:ind w:right="0"/>
        <w:jc w:val="both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Сколько нужно быть в больнице?</w:t>
      </w:r>
    </w:p>
    <w:p>
      <w:p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Длительность послеоперационного периода определяется форматом хирургического вмешательства.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Артроскопия, как правило, проводится в амбулаторных условиях или при непродолжительном пребывании пациента в стационаре.</w:t>
      </w:r>
    </w:p>
    <w:p>
      <w:p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Некоторые методики операции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требуют проведения лечения на протяжении нескольких дней.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Основная предпосылка для проведения лечения амбулаторно - гарантированный ух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од в домашних условиях со стороны родственников.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Подготовительный период включает несколько дней до операции,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на протяжении которых проводится дополнительно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е об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следование, проведение рентгеновского исследования и лабораторный контроль. </w:t>
      </w:r>
    </w:p>
    <w:p>
      <w:pPr>
        <w:spacing w:lineRule="atLeast" w:line="375" w:before="0" w:after="15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drawing>
          <wp:inline xmlns:wp="http://schemas.openxmlformats.org/drawingml/2006/wordprocessingDrawing">
            <wp:extent cx="6115050" cy="34378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4378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br w:type="textWrapping"/>
      </w:r>
      <w:bookmarkStart w:id="2" w:name="E1900"/>
      <w:bookmarkEnd w:id="2"/>
    </w:p>
    <w:p>
      <w:pPr>
        <w:spacing w:lineRule="atLeast" w:line="375" w:before="0" w:after="150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br w:type="textWrapping"/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2BABF88"/>
    <w:multiLevelType w:val="hybridMultilevel"/>
    <w:lvl w:ilvl="0" w:tplc="492DDE93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9A5314D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B65780D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4E92DD2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A8F511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09803DD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8BD8E6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0837208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45BDFE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50B4A3AF"/>
    <w:multiLevelType w:val="hybridMultilevel"/>
    <w:lvl w:ilvl="0" w:tplc="492DDE93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9A5314D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B65780D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4E92DD2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A8F511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09803DD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8BD8E6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0837208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45BDFE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