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В работе рассмотрен  интересный, с точки зрения фундаментального правоведения</w:t>
      </w:r>
      <w:r>
        <w:rPr>
          <w:color w:val="000000"/>
          <w:sz w:val="28"/>
          <w:szCs w:val="28"/>
        </w:rPr>
        <w:t>, и животрепещущ</w:t>
      </w:r>
      <w:r w:rsidRPr="009046D5">
        <w:rPr>
          <w:color w:val="000000"/>
          <w:sz w:val="28"/>
          <w:szCs w:val="28"/>
        </w:rPr>
        <w:t>ий вопрос о банкротс</w:t>
      </w:r>
      <w:r>
        <w:rPr>
          <w:color w:val="000000"/>
          <w:sz w:val="28"/>
          <w:szCs w:val="28"/>
        </w:rPr>
        <w:t>т</w:t>
      </w:r>
      <w:r w:rsidRPr="009046D5">
        <w:rPr>
          <w:color w:val="000000"/>
          <w:sz w:val="28"/>
          <w:szCs w:val="28"/>
        </w:rPr>
        <w:t>ве наследственной массы. Прежде чем говорить об актуальности темы, стоит рассмо</w:t>
      </w:r>
      <w:r>
        <w:rPr>
          <w:color w:val="000000"/>
          <w:sz w:val="28"/>
          <w:szCs w:val="28"/>
        </w:rPr>
        <w:t>т</w:t>
      </w:r>
      <w:r w:rsidRPr="009046D5">
        <w:rPr>
          <w:color w:val="000000"/>
          <w:sz w:val="28"/>
          <w:szCs w:val="28"/>
        </w:rPr>
        <w:t>реть пред</w:t>
      </w:r>
      <w:r>
        <w:rPr>
          <w:color w:val="000000"/>
          <w:sz w:val="28"/>
          <w:szCs w:val="28"/>
        </w:rPr>
        <w:t xml:space="preserve"> </w:t>
      </w:r>
      <w:r w:rsidRPr="009046D5">
        <w:rPr>
          <w:color w:val="000000"/>
          <w:sz w:val="28"/>
          <w:szCs w:val="28"/>
        </w:rPr>
        <w:t xml:space="preserve">историю самого вопроса.  </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 xml:space="preserve">Современные реалии общественной жизни граждан, а также финансовые возможности тех или иных слоев населения и их желание иметь высокий уровень достатка привели к возникновению так называемой «вилки» между «могу и хочу». А масса финансовых структур, предлагающих населения быстрые займы и кредиты на различные нужды, создают видимость легкости получения денежных средств и их возвращения. К сожалению, на практике, все не так просто.    Финансовая несостоятельность в связи потерей работы, развалом бизнеса или недостатком знаний  стала бичом современных кредитных отношений. </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Граждане, стараясь найти выход из патовой ситуации, стремятся пройти процедуру банкротс</w:t>
      </w:r>
      <w:r>
        <w:rPr>
          <w:color w:val="000000"/>
          <w:sz w:val="28"/>
          <w:szCs w:val="28"/>
        </w:rPr>
        <w:t>т</w:t>
      </w:r>
      <w:r w:rsidRPr="009046D5">
        <w:rPr>
          <w:color w:val="000000"/>
          <w:sz w:val="28"/>
          <w:szCs w:val="28"/>
        </w:rPr>
        <w:t xml:space="preserve">ва, а кредитные организации пытаются вернуть займа всеми возможными легальными средствами. </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Вообще, вопрос</w:t>
      </w:r>
      <w:r w:rsidRPr="009046D5">
        <w:rPr>
          <w:sz w:val="28"/>
          <w:szCs w:val="28"/>
        </w:rPr>
        <w:t xml:space="preserve"> о </w:t>
      </w:r>
      <w:r w:rsidRPr="009046D5">
        <w:rPr>
          <w:color w:val="000000"/>
          <w:sz w:val="28"/>
          <w:szCs w:val="28"/>
        </w:rPr>
        <w:t>правовой несос</w:t>
      </w:r>
      <w:r w:rsidR="006F0FF2">
        <w:rPr>
          <w:color w:val="000000"/>
          <w:sz w:val="28"/>
          <w:szCs w:val="28"/>
        </w:rPr>
        <w:t xml:space="preserve">тоятельности заемщика и защиты </w:t>
      </w:r>
      <w:r w:rsidRPr="009046D5">
        <w:rPr>
          <w:color w:val="000000"/>
          <w:sz w:val="28"/>
          <w:szCs w:val="28"/>
        </w:rPr>
        <w:t xml:space="preserve">  имущественных прав кредитора, рассматривался </w:t>
      </w:r>
      <w:r w:rsidR="006F0FF2">
        <w:rPr>
          <w:color w:val="000000"/>
          <w:sz w:val="28"/>
          <w:szCs w:val="28"/>
        </w:rPr>
        <w:t>еще древнеримскими правоведами.</w:t>
      </w:r>
      <w:r w:rsidRPr="009046D5">
        <w:rPr>
          <w:color w:val="000000"/>
          <w:sz w:val="28"/>
          <w:szCs w:val="28"/>
        </w:rPr>
        <w:t xml:space="preserve"> В течение многих веков институт несостоятельности физических лиц,  был наиболее  эффективным средством обеспечения экономической безопасности хозяйствующих субъектов.</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В российской правовой науки само понятие «несостоятельности физического лица» прошло через «тернии к звездам». Так ,в советский период «несостоятельность физического лица», как юридический термин напрочь исчезло , т.к. не стало легальной экономической активности физических лиц. Начало 90 годов прошлого столетия ознаменовалось, как возрождение частного сектора экономики и  несостоятельность физического лица, как термин и явления тут же  появилось вновь. В настоящее время российское и</w:t>
      </w:r>
      <w:r>
        <w:rPr>
          <w:color w:val="000000"/>
          <w:sz w:val="28"/>
          <w:szCs w:val="28"/>
        </w:rPr>
        <w:t xml:space="preserve"> </w:t>
      </w:r>
      <w:r w:rsidRPr="009046D5">
        <w:rPr>
          <w:color w:val="000000"/>
          <w:sz w:val="28"/>
          <w:szCs w:val="28"/>
        </w:rPr>
        <w:t>зарубежное прав</w:t>
      </w:r>
      <w:r>
        <w:rPr>
          <w:color w:val="000000"/>
          <w:sz w:val="28"/>
          <w:szCs w:val="28"/>
        </w:rPr>
        <w:t>о</w:t>
      </w:r>
      <w:r w:rsidRPr="009046D5">
        <w:rPr>
          <w:color w:val="000000"/>
          <w:sz w:val="28"/>
          <w:szCs w:val="28"/>
        </w:rPr>
        <w:t xml:space="preserve"> </w:t>
      </w:r>
      <w:r>
        <w:rPr>
          <w:color w:val="000000"/>
          <w:sz w:val="28"/>
          <w:szCs w:val="28"/>
        </w:rPr>
        <w:t xml:space="preserve">определение </w:t>
      </w:r>
      <w:r w:rsidRPr="009046D5">
        <w:rPr>
          <w:color w:val="000000"/>
          <w:sz w:val="28"/>
          <w:szCs w:val="28"/>
        </w:rPr>
        <w:t>«несостоятельность» рассматрива</w:t>
      </w:r>
      <w:r>
        <w:rPr>
          <w:color w:val="000000"/>
          <w:sz w:val="28"/>
          <w:szCs w:val="28"/>
        </w:rPr>
        <w:t>ет</w:t>
      </w:r>
      <w:r w:rsidRPr="009046D5">
        <w:rPr>
          <w:color w:val="000000"/>
          <w:sz w:val="28"/>
          <w:szCs w:val="28"/>
        </w:rPr>
        <w:t xml:space="preserve"> как несостоятельность и физических лиц, и юридических лиц.</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lastRenderedPageBreak/>
        <w:t>Именно поэтому вопрос о банкротстве наследственной массы очень важен. И банкрот, и его наследники, и кредиторы должны понимать все последствие процедуры банкротства и права и обязанности в такой трагической ситуации.</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 xml:space="preserve">Наследственное имущество является одной из важнейших категорий наследственного права, переходящих к наследникам в установленном законом порядке. </w:t>
      </w:r>
    </w:p>
    <w:p w:rsidR="009046D5" w:rsidRPr="009046D5" w:rsidRDefault="009046D5" w:rsidP="009046D5">
      <w:pPr>
        <w:pStyle w:val="a6"/>
        <w:spacing w:after="0" w:line="360" w:lineRule="auto"/>
        <w:ind w:firstLine="709"/>
        <w:jc w:val="both"/>
        <w:rPr>
          <w:color w:val="000000"/>
          <w:sz w:val="28"/>
          <w:szCs w:val="28"/>
        </w:rPr>
      </w:pPr>
      <w:r w:rsidRPr="009046D5">
        <w:rPr>
          <w:color w:val="000000"/>
          <w:sz w:val="28"/>
          <w:szCs w:val="28"/>
        </w:rPr>
        <w:t>Необходимо понимать, по наследству переходят и не только имущественные права., но и долги. Статья 223.1.</w:t>
      </w:r>
      <w:r w:rsidRPr="009046D5">
        <w:rPr>
          <w:sz w:val="28"/>
          <w:szCs w:val="28"/>
        </w:rPr>
        <w:t xml:space="preserve"> </w:t>
      </w:r>
      <w:r w:rsidRPr="009046D5">
        <w:rPr>
          <w:color w:val="000000"/>
          <w:sz w:val="28"/>
          <w:szCs w:val="28"/>
        </w:rPr>
        <w:t>«Закона о банкротстве» рассматривает   условия и порядок банкротства в случае смерти гражданина.</w:t>
      </w:r>
    </w:p>
    <w:p w:rsidR="009046D5" w:rsidRPr="009046D5" w:rsidRDefault="009046D5" w:rsidP="009046D5">
      <w:pPr>
        <w:pStyle w:val="a6"/>
        <w:spacing w:after="0" w:line="360" w:lineRule="auto"/>
        <w:ind w:firstLine="709"/>
        <w:jc w:val="both"/>
        <w:rPr>
          <w:color w:val="000000"/>
          <w:sz w:val="28"/>
          <w:szCs w:val="28"/>
        </w:rPr>
      </w:pPr>
      <w:r w:rsidRPr="009046D5">
        <w:rPr>
          <w:color w:val="000000"/>
          <w:sz w:val="28"/>
          <w:szCs w:val="28"/>
        </w:rPr>
        <w:t>Согласно законодат</w:t>
      </w:r>
      <w:r>
        <w:rPr>
          <w:color w:val="000000"/>
          <w:sz w:val="28"/>
          <w:szCs w:val="28"/>
        </w:rPr>
        <w:t>е</w:t>
      </w:r>
      <w:r w:rsidRPr="009046D5">
        <w:rPr>
          <w:color w:val="000000"/>
          <w:sz w:val="28"/>
          <w:szCs w:val="28"/>
        </w:rPr>
        <w:t xml:space="preserve">льству процедуру банкротства наследственной массы могут инициировать наследники. Наследники инициируют процедуру после смерти должника или объявления его умершим, если в отношении этого гражданина процедура банкротства при жизни не вводилась. Важнейшим фактором является, что требования могут предъявлять только кредиторы наследодателя, а задолженность, погашается наследниками лишь в пределах стоимости наследственной массы. </w:t>
      </w:r>
    </w:p>
    <w:p w:rsidR="009046D5" w:rsidRPr="009046D5" w:rsidRDefault="009046D5" w:rsidP="009046D5">
      <w:pPr>
        <w:pStyle w:val="a6"/>
        <w:spacing w:after="0" w:line="360" w:lineRule="auto"/>
        <w:ind w:firstLine="709"/>
        <w:jc w:val="both"/>
        <w:rPr>
          <w:sz w:val="28"/>
          <w:szCs w:val="28"/>
        </w:rPr>
      </w:pPr>
      <w:r w:rsidRPr="009046D5">
        <w:rPr>
          <w:sz w:val="28"/>
          <w:szCs w:val="28"/>
        </w:rPr>
        <w:t>Все вышеизложенное свидетельствует об актуальности исследования вопроса о банкротс</w:t>
      </w:r>
      <w:r>
        <w:rPr>
          <w:sz w:val="28"/>
          <w:szCs w:val="28"/>
        </w:rPr>
        <w:t>т</w:t>
      </w:r>
      <w:r w:rsidRPr="009046D5">
        <w:rPr>
          <w:sz w:val="28"/>
          <w:szCs w:val="28"/>
        </w:rPr>
        <w:t xml:space="preserve">ве наследственной массы.  </w:t>
      </w:r>
    </w:p>
    <w:p w:rsidR="009046D5" w:rsidRPr="009046D5" w:rsidRDefault="009046D5" w:rsidP="009046D5">
      <w:pPr>
        <w:pStyle w:val="a6"/>
        <w:spacing w:after="0" w:line="360" w:lineRule="auto"/>
        <w:ind w:firstLine="709"/>
        <w:jc w:val="both"/>
        <w:rPr>
          <w:sz w:val="28"/>
          <w:szCs w:val="28"/>
        </w:rPr>
      </w:pPr>
      <w:r w:rsidRPr="009046D5">
        <w:rPr>
          <w:sz w:val="28"/>
          <w:szCs w:val="28"/>
        </w:rPr>
        <w:t>Объектом исследования работы выступают теоретические положения о банкро</w:t>
      </w:r>
      <w:r>
        <w:rPr>
          <w:sz w:val="28"/>
          <w:szCs w:val="28"/>
        </w:rPr>
        <w:t>т</w:t>
      </w:r>
      <w:r w:rsidRPr="009046D5">
        <w:rPr>
          <w:sz w:val="28"/>
          <w:szCs w:val="28"/>
        </w:rPr>
        <w:t xml:space="preserve">стве наследственной массы и общественные отношения между всеми заинтересованными субъектами. </w:t>
      </w:r>
    </w:p>
    <w:p w:rsidR="009046D5" w:rsidRPr="009046D5" w:rsidRDefault="009046D5" w:rsidP="009046D5">
      <w:pPr>
        <w:pStyle w:val="a6"/>
        <w:spacing w:after="0" w:line="360" w:lineRule="auto"/>
        <w:ind w:firstLine="709"/>
        <w:jc w:val="both"/>
        <w:rPr>
          <w:sz w:val="28"/>
          <w:szCs w:val="28"/>
        </w:rPr>
      </w:pPr>
      <w:r w:rsidRPr="009046D5">
        <w:rPr>
          <w:sz w:val="28"/>
          <w:szCs w:val="28"/>
        </w:rPr>
        <w:t>Предметом исследования являются нормы права, регулирующие вышеозначенную процедуру.</w:t>
      </w:r>
    </w:p>
    <w:p w:rsidR="009046D5" w:rsidRPr="009046D5" w:rsidRDefault="009046D5" w:rsidP="009046D5">
      <w:pPr>
        <w:pStyle w:val="a6"/>
        <w:spacing w:after="0" w:line="360" w:lineRule="auto"/>
        <w:ind w:firstLine="709"/>
        <w:jc w:val="both"/>
        <w:rPr>
          <w:sz w:val="28"/>
          <w:szCs w:val="28"/>
        </w:rPr>
      </w:pPr>
      <w:r w:rsidRPr="009046D5">
        <w:rPr>
          <w:sz w:val="28"/>
          <w:szCs w:val="28"/>
        </w:rPr>
        <w:t xml:space="preserve">Цель исследования: </w:t>
      </w:r>
    </w:p>
    <w:p w:rsidR="009046D5" w:rsidRPr="009046D5" w:rsidRDefault="009046D5" w:rsidP="009046D5">
      <w:pPr>
        <w:pStyle w:val="a6"/>
        <w:numPr>
          <w:ilvl w:val="0"/>
          <w:numId w:val="4"/>
        </w:numPr>
        <w:spacing w:after="0" w:line="360" w:lineRule="auto"/>
        <w:jc w:val="both"/>
        <w:rPr>
          <w:sz w:val="28"/>
          <w:szCs w:val="28"/>
        </w:rPr>
      </w:pPr>
      <w:r w:rsidRPr="009046D5">
        <w:rPr>
          <w:sz w:val="28"/>
          <w:szCs w:val="28"/>
        </w:rPr>
        <w:t>изучение</w:t>
      </w:r>
      <w:r>
        <w:rPr>
          <w:sz w:val="28"/>
          <w:szCs w:val="28"/>
        </w:rPr>
        <w:t xml:space="preserve"> пра</w:t>
      </w:r>
      <w:r w:rsidRPr="009046D5">
        <w:rPr>
          <w:sz w:val="28"/>
          <w:szCs w:val="28"/>
        </w:rPr>
        <w:t>вового регулирования вопросов банкро</w:t>
      </w:r>
      <w:r>
        <w:rPr>
          <w:sz w:val="28"/>
          <w:szCs w:val="28"/>
        </w:rPr>
        <w:t>т</w:t>
      </w:r>
      <w:r w:rsidRPr="009046D5">
        <w:rPr>
          <w:sz w:val="28"/>
          <w:szCs w:val="28"/>
        </w:rPr>
        <w:t>ства наследственной массы</w:t>
      </w:r>
    </w:p>
    <w:p w:rsidR="009046D5" w:rsidRPr="009046D5" w:rsidRDefault="009046D5" w:rsidP="009046D5">
      <w:pPr>
        <w:pStyle w:val="a6"/>
        <w:numPr>
          <w:ilvl w:val="0"/>
          <w:numId w:val="4"/>
        </w:numPr>
        <w:spacing w:after="0" w:line="360" w:lineRule="auto"/>
        <w:jc w:val="both"/>
        <w:rPr>
          <w:sz w:val="28"/>
          <w:szCs w:val="28"/>
        </w:rPr>
      </w:pPr>
      <w:r w:rsidRPr="009046D5">
        <w:rPr>
          <w:sz w:val="28"/>
          <w:szCs w:val="28"/>
        </w:rPr>
        <w:t>разработка некоторых дополнений в действующее законодательство для регулирования правовых коллизий в данной сфере.</w:t>
      </w:r>
    </w:p>
    <w:p w:rsidR="009046D5" w:rsidRPr="009046D5" w:rsidRDefault="009046D5" w:rsidP="009046D5">
      <w:pPr>
        <w:pStyle w:val="a6"/>
        <w:spacing w:after="0" w:line="360" w:lineRule="auto"/>
        <w:ind w:firstLine="709"/>
        <w:jc w:val="both"/>
        <w:rPr>
          <w:sz w:val="28"/>
          <w:szCs w:val="28"/>
        </w:rPr>
      </w:pPr>
      <w:r w:rsidRPr="009046D5">
        <w:rPr>
          <w:sz w:val="28"/>
          <w:szCs w:val="28"/>
        </w:rPr>
        <w:lastRenderedPageBreak/>
        <w:t>Цель, поставленная перед исследователем,  предопределила конкретные задачи исследования:</w:t>
      </w:r>
    </w:p>
    <w:p w:rsidR="009046D5" w:rsidRPr="009046D5" w:rsidRDefault="009046D5" w:rsidP="009046D5">
      <w:pPr>
        <w:pStyle w:val="a6"/>
        <w:numPr>
          <w:ilvl w:val="0"/>
          <w:numId w:val="2"/>
        </w:numPr>
        <w:spacing w:after="0" w:line="360" w:lineRule="auto"/>
        <w:jc w:val="both"/>
        <w:rPr>
          <w:sz w:val="28"/>
          <w:szCs w:val="28"/>
        </w:rPr>
      </w:pPr>
      <w:r w:rsidRPr="009046D5">
        <w:rPr>
          <w:sz w:val="28"/>
          <w:szCs w:val="28"/>
        </w:rPr>
        <w:t>рассмотреть и изучить определение понятия и признаков банкротства физических лиц</w:t>
      </w:r>
    </w:p>
    <w:p w:rsidR="009046D5" w:rsidRPr="009046D5" w:rsidRDefault="009046D5" w:rsidP="009046D5">
      <w:pPr>
        <w:pStyle w:val="a6"/>
        <w:numPr>
          <w:ilvl w:val="0"/>
          <w:numId w:val="2"/>
        </w:numPr>
        <w:spacing w:after="0" w:line="360" w:lineRule="auto"/>
        <w:jc w:val="both"/>
        <w:rPr>
          <w:sz w:val="28"/>
          <w:szCs w:val="28"/>
        </w:rPr>
      </w:pPr>
      <w:r w:rsidRPr="009046D5">
        <w:rPr>
          <w:sz w:val="28"/>
          <w:szCs w:val="28"/>
        </w:rPr>
        <w:t xml:space="preserve">изучить порядок признания гражданина несостоятельным (банкротом) согласно современному законодательству </w:t>
      </w:r>
    </w:p>
    <w:p w:rsidR="009046D5" w:rsidRPr="009046D5" w:rsidRDefault="009046D5" w:rsidP="009046D5">
      <w:pPr>
        <w:pStyle w:val="a6"/>
        <w:spacing w:after="0" w:line="360" w:lineRule="auto"/>
        <w:ind w:firstLine="709"/>
        <w:jc w:val="both"/>
        <w:rPr>
          <w:sz w:val="28"/>
          <w:szCs w:val="28"/>
        </w:rPr>
      </w:pPr>
      <w:r w:rsidRPr="009046D5">
        <w:rPr>
          <w:sz w:val="28"/>
          <w:szCs w:val="28"/>
        </w:rPr>
        <w:t>изучить особенности процедуры банкротства умершего гражданина</w:t>
      </w:r>
    </w:p>
    <w:p w:rsidR="009046D5" w:rsidRPr="009046D5" w:rsidRDefault="009046D5" w:rsidP="009046D5">
      <w:pPr>
        <w:pStyle w:val="a6"/>
        <w:spacing w:after="0" w:line="360" w:lineRule="auto"/>
        <w:ind w:firstLine="709"/>
        <w:jc w:val="both"/>
        <w:rPr>
          <w:sz w:val="28"/>
          <w:szCs w:val="28"/>
        </w:rPr>
      </w:pPr>
      <w:r w:rsidRPr="009046D5">
        <w:rPr>
          <w:sz w:val="28"/>
          <w:szCs w:val="28"/>
        </w:rPr>
        <w:t>рассмотреть формирование и распределение наследственной  массы умершего гражданина.</w:t>
      </w:r>
    </w:p>
    <w:p w:rsidR="009046D5" w:rsidRPr="009046D5" w:rsidRDefault="009046D5" w:rsidP="009046D5">
      <w:pPr>
        <w:pStyle w:val="a6"/>
        <w:spacing w:after="0" w:line="360" w:lineRule="auto"/>
        <w:ind w:firstLine="709"/>
        <w:jc w:val="both"/>
        <w:rPr>
          <w:sz w:val="28"/>
          <w:szCs w:val="28"/>
        </w:rPr>
      </w:pPr>
      <w:r w:rsidRPr="009046D5">
        <w:rPr>
          <w:sz w:val="28"/>
          <w:szCs w:val="28"/>
        </w:rPr>
        <w:t xml:space="preserve">Для достижения поставленной цели в работе применялись различные методу: </w:t>
      </w:r>
    </w:p>
    <w:p w:rsidR="009046D5" w:rsidRPr="009046D5" w:rsidRDefault="009046D5" w:rsidP="009046D5">
      <w:pPr>
        <w:pStyle w:val="a6"/>
        <w:numPr>
          <w:ilvl w:val="0"/>
          <w:numId w:val="1"/>
        </w:numPr>
        <w:spacing w:after="0" w:line="360" w:lineRule="auto"/>
        <w:jc w:val="both"/>
        <w:rPr>
          <w:sz w:val="28"/>
          <w:szCs w:val="28"/>
        </w:rPr>
      </w:pPr>
      <w:r w:rsidRPr="009046D5">
        <w:rPr>
          <w:sz w:val="28"/>
          <w:szCs w:val="28"/>
        </w:rPr>
        <w:t xml:space="preserve">аналитический; </w:t>
      </w:r>
    </w:p>
    <w:p w:rsidR="009046D5" w:rsidRDefault="009046D5" w:rsidP="009046D5">
      <w:pPr>
        <w:pStyle w:val="a6"/>
        <w:numPr>
          <w:ilvl w:val="0"/>
          <w:numId w:val="1"/>
        </w:numPr>
        <w:spacing w:after="0" w:line="360" w:lineRule="auto"/>
        <w:jc w:val="both"/>
        <w:rPr>
          <w:sz w:val="28"/>
          <w:szCs w:val="28"/>
        </w:rPr>
      </w:pPr>
      <w:r w:rsidRPr="009046D5">
        <w:rPr>
          <w:sz w:val="28"/>
          <w:szCs w:val="28"/>
        </w:rPr>
        <w:t>классифицирующий</w:t>
      </w:r>
      <w:r>
        <w:rPr>
          <w:sz w:val="28"/>
          <w:szCs w:val="28"/>
        </w:rPr>
        <w:t>;</w:t>
      </w:r>
    </w:p>
    <w:p w:rsidR="009046D5" w:rsidRPr="009046D5" w:rsidRDefault="009046D5" w:rsidP="009046D5">
      <w:pPr>
        <w:pStyle w:val="a6"/>
        <w:numPr>
          <w:ilvl w:val="0"/>
          <w:numId w:val="1"/>
        </w:numPr>
        <w:spacing w:after="0" w:line="360" w:lineRule="auto"/>
        <w:jc w:val="both"/>
        <w:rPr>
          <w:sz w:val="28"/>
          <w:szCs w:val="28"/>
        </w:rPr>
      </w:pPr>
      <w:r w:rsidRPr="009046D5">
        <w:rPr>
          <w:sz w:val="28"/>
          <w:szCs w:val="28"/>
        </w:rPr>
        <w:t>сравнительно-правовой</w:t>
      </w:r>
      <w:r>
        <w:rPr>
          <w:sz w:val="28"/>
          <w:szCs w:val="28"/>
        </w:rPr>
        <w:t>;</w:t>
      </w:r>
    </w:p>
    <w:p w:rsidR="009046D5" w:rsidRPr="009046D5" w:rsidRDefault="009046D5" w:rsidP="009046D5">
      <w:pPr>
        <w:pStyle w:val="a6"/>
        <w:numPr>
          <w:ilvl w:val="0"/>
          <w:numId w:val="1"/>
        </w:numPr>
        <w:spacing w:after="0" w:line="360" w:lineRule="auto"/>
        <w:jc w:val="both"/>
        <w:rPr>
          <w:sz w:val="28"/>
          <w:szCs w:val="28"/>
        </w:rPr>
      </w:pPr>
      <w:r w:rsidRPr="009046D5">
        <w:rPr>
          <w:sz w:val="28"/>
          <w:szCs w:val="28"/>
        </w:rPr>
        <w:t xml:space="preserve">технико-юридический и т.д.  </w:t>
      </w:r>
    </w:p>
    <w:p w:rsidR="009046D5" w:rsidRPr="009046D5" w:rsidRDefault="009046D5" w:rsidP="009046D5">
      <w:pPr>
        <w:pStyle w:val="a6"/>
        <w:spacing w:after="0" w:line="360" w:lineRule="auto"/>
        <w:ind w:firstLine="709"/>
        <w:jc w:val="both"/>
        <w:rPr>
          <w:sz w:val="28"/>
          <w:szCs w:val="28"/>
        </w:rPr>
      </w:pPr>
      <w:r w:rsidRPr="009046D5">
        <w:rPr>
          <w:sz w:val="28"/>
          <w:szCs w:val="28"/>
        </w:rPr>
        <w:t>Аналитический метод включает в себя изучение действующий законодательной базы по данному вопросу. В работе использован классифицирующий или описательный метод. А именно, изучение научной и  специальной литературы, касающейся предмета данной работы.</w:t>
      </w:r>
    </w:p>
    <w:p w:rsidR="009046D5" w:rsidRPr="009046D5" w:rsidRDefault="009046D5" w:rsidP="009046D5">
      <w:pPr>
        <w:pStyle w:val="a6"/>
        <w:spacing w:after="0" w:line="360" w:lineRule="auto"/>
        <w:ind w:firstLine="709"/>
        <w:jc w:val="both"/>
        <w:rPr>
          <w:sz w:val="28"/>
          <w:szCs w:val="28"/>
        </w:rPr>
      </w:pPr>
      <w:r w:rsidRPr="009046D5">
        <w:rPr>
          <w:sz w:val="28"/>
          <w:szCs w:val="28"/>
        </w:rPr>
        <w:t xml:space="preserve">В исследовании активно применялись сравнительно-правовой и технико-юридический методы. Их использование дало возможность сделать выводы о необходимости пересмотреть процедуру банкротства и конкретизировать порядок ее применения в рамках рассмотрения дел о банкротстве наследственной массы. </w:t>
      </w:r>
    </w:p>
    <w:p w:rsidR="009046D5" w:rsidRPr="009046D5" w:rsidRDefault="009046D5" w:rsidP="009046D5">
      <w:pPr>
        <w:pStyle w:val="a6"/>
        <w:spacing w:after="0" w:line="360" w:lineRule="auto"/>
        <w:ind w:firstLine="709"/>
        <w:jc w:val="both"/>
        <w:rPr>
          <w:sz w:val="28"/>
          <w:szCs w:val="28"/>
        </w:rPr>
      </w:pPr>
      <w:r w:rsidRPr="009046D5">
        <w:rPr>
          <w:sz w:val="28"/>
          <w:szCs w:val="28"/>
        </w:rPr>
        <w:t xml:space="preserve">Далее в работе автор собирается убедительно доказать, что существующий порядок рассмотрения такого рода дел, приводит к возникновению процессуальных коллизий, что ведет к противоречивости  судебной практики в этой области.  </w:t>
      </w:r>
    </w:p>
    <w:p w:rsidR="009046D5" w:rsidRPr="009046D5" w:rsidRDefault="009046D5" w:rsidP="009046D5">
      <w:pPr>
        <w:pStyle w:val="a6"/>
        <w:spacing w:after="0" w:line="360" w:lineRule="auto"/>
        <w:ind w:firstLine="709"/>
        <w:jc w:val="both"/>
        <w:rPr>
          <w:sz w:val="28"/>
          <w:szCs w:val="28"/>
        </w:rPr>
      </w:pPr>
      <w:r w:rsidRPr="009046D5">
        <w:rPr>
          <w:sz w:val="28"/>
          <w:szCs w:val="28"/>
        </w:rPr>
        <w:t xml:space="preserve">Для решения поставленных задач в работе использованы письменные источники, освещающие вопросы,  поднятые в работе, а именно научно – </w:t>
      </w:r>
      <w:r w:rsidRPr="009046D5">
        <w:rPr>
          <w:sz w:val="28"/>
          <w:szCs w:val="28"/>
        </w:rPr>
        <w:lastRenderedPageBreak/>
        <w:t xml:space="preserve">популярная литература, журнальные статьи, работы зарубежных и российских ученых, затрагивающие проблему, поднятую в работе. </w:t>
      </w:r>
    </w:p>
    <w:p w:rsidR="009046D5" w:rsidRPr="009046D5" w:rsidRDefault="009046D5" w:rsidP="009046D5">
      <w:pPr>
        <w:pStyle w:val="a6"/>
        <w:spacing w:after="0" w:line="360" w:lineRule="auto"/>
        <w:ind w:firstLine="709"/>
        <w:jc w:val="both"/>
        <w:rPr>
          <w:sz w:val="28"/>
          <w:szCs w:val="28"/>
        </w:rPr>
      </w:pPr>
      <w:r w:rsidRPr="009046D5">
        <w:rPr>
          <w:sz w:val="28"/>
          <w:szCs w:val="28"/>
        </w:rPr>
        <w:t xml:space="preserve">Структурно работа состоит из введения, двух глав </w:t>
      </w:r>
      <w:proofErr w:type="spellStart"/>
      <w:r w:rsidRPr="009046D5">
        <w:rPr>
          <w:sz w:val="28"/>
          <w:szCs w:val="28"/>
        </w:rPr>
        <w:t>глав</w:t>
      </w:r>
      <w:proofErr w:type="spellEnd"/>
      <w:r w:rsidRPr="009046D5">
        <w:rPr>
          <w:sz w:val="28"/>
          <w:szCs w:val="28"/>
        </w:rPr>
        <w:t xml:space="preserve"> с четырьмя параграфами, заключения, в котором содержаться выводы, сделанные в результате исследования и списка использованной литературы. </w:t>
      </w:r>
    </w:p>
    <w:p w:rsidR="009046D5" w:rsidRPr="009046D5" w:rsidRDefault="009046D5" w:rsidP="009046D5">
      <w:pPr>
        <w:pStyle w:val="a3"/>
        <w:spacing w:before="0" w:beforeAutospacing="0" w:after="0" w:afterAutospacing="0" w:line="360" w:lineRule="auto"/>
        <w:ind w:firstLine="709"/>
        <w:jc w:val="both"/>
        <w:rPr>
          <w:sz w:val="28"/>
          <w:szCs w:val="28"/>
        </w:rPr>
      </w:pPr>
      <w:r w:rsidRPr="009046D5">
        <w:rPr>
          <w:sz w:val="28"/>
          <w:szCs w:val="28"/>
        </w:rPr>
        <w:t xml:space="preserve">Нормативно-правовую базу исследования </w:t>
      </w:r>
      <w:proofErr w:type="spellStart"/>
      <w:r w:rsidRPr="009046D5">
        <w:rPr>
          <w:sz w:val="28"/>
          <w:szCs w:val="28"/>
        </w:rPr>
        <w:t>составилиКонституция</w:t>
      </w:r>
      <w:proofErr w:type="spellEnd"/>
      <w:r w:rsidRPr="009046D5">
        <w:rPr>
          <w:sz w:val="28"/>
          <w:szCs w:val="28"/>
        </w:rPr>
        <w:t xml:space="preserve"> Российской Федерации, Гражданский кодекс Российской Федерации, часть первая от 30 ноября </w:t>
      </w:r>
      <w:smartTag w:uri="urn:schemas-microsoft-com:office:smarttags" w:element="metricconverter">
        <w:smartTagPr>
          <w:attr w:name="ProductID" w:val="2008 г"/>
        </w:smartTagPr>
        <w:r w:rsidRPr="009046D5">
          <w:rPr>
            <w:sz w:val="28"/>
            <w:szCs w:val="28"/>
          </w:rPr>
          <w:t>1994 г</w:t>
        </w:r>
      </w:smartTag>
      <w:r w:rsidRPr="009046D5">
        <w:rPr>
          <w:sz w:val="28"/>
          <w:szCs w:val="28"/>
        </w:rPr>
        <w:t>. (в редакции от 2 ноября 2020 г.)</w:t>
      </w:r>
      <w:r w:rsidRPr="009046D5">
        <w:rPr>
          <w:rStyle w:val="a4"/>
          <w:rFonts w:eastAsia="Calibri"/>
          <w:bCs/>
          <w:color w:val="000000"/>
          <w:sz w:val="28"/>
          <w:szCs w:val="28"/>
        </w:rPr>
        <w:footnoteReference w:id="1"/>
      </w:r>
      <w:r w:rsidRPr="009046D5">
        <w:rPr>
          <w:sz w:val="28"/>
          <w:szCs w:val="28"/>
        </w:rPr>
        <w:t xml:space="preserve">; Гражданский процессуальный кодекс Российской Федерации от 14 ноября </w:t>
      </w:r>
      <w:smartTag w:uri="urn:schemas-microsoft-com:office:smarttags" w:element="metricconverter">
        <w:smartTagPr>
          <w:attr w:name="ProductID" w:val="2002 г"/>
        </w:smartTagPr>
        <w:r w:rsidRPr="009046D5">
          <w:rPr>
            <w:sz w:val="28"/>
            <w:szCs w:val="28"/>
          </w:rPr>
          <w:t>2002 г</w:t>
        </w:r>
      </w:smartTag>
      <w:r w:rsidRPr="009046D5">
        <w:rPr>
          <w:sz w:val="28"/>
          <w:szCs w:val="28"/>
        </w:rPr>
        <w:t>. (в редакции от 28 декабря 2020 г.)</w:t>
      </w:r>
      <w:r w:rsidRPr="009046D5">
        <w:rPr>
          <w:rStyle w:val="a4"/>
          <w:rFonts w:eastAsia="Calibri"/>
          <w:bCs/>
          <w:color w:val="000000"/>
          <w:sz w:val="28"/>
          <w:szCs w:val="28"/>
        </w:rPr>
        <w:footnoteReference w:id="2"/>
      </w:r>
      <w:r w:rsidRPr="009046D5">
        <w:rPr>
          <w:sz w:val="28"/>
          <w:szCs w:val="28"/>
        </w:rPr>
        <w:t xml:space="preserve">; Арбитражный процессуальный кодекс Российской Федерации от 24 июля </w:t>
      </w:r>
      <w:smartTag w:uri="urn:schemas-microsoft-com:office:smarttags" w:element="metricconverter">
        <w:smartTagPr>
          <w:attr w:name="ProductID" w:val="2002 г"/>
        </w:smartTagPr>
        <w:r w:rsidRPr="009046D5">
          <w:rPr>
            <w:sz w:val="28"/>
            <w:szCs w:val="28"/>
          </w:rPr>
          <w:t>2002 г</w:t>
        </w:r>
      </w:smartTag>
      <w:r w:rsidRPr="009046D5">
        <w:rPr>
          <w:sz w:val="28"/>
          <w:szCs w:val="28"/>
        </w:rPr>
        <w:t>. (в редакции от 2 ноября 2020 г.)</w:t>
      </w:r>
      <w:r w:rsidRPr="009046D5">
        <w:rPr>
          <w:rStyle w:val="a4"/>
          <w:rFonts w:eastAsia="Calibri"/>
          <w:bCs/>
          <w:color w:val="000000"/>
          <w:sz w:val="28"/>
          <w:szCs w:val="28"/>
        </w:rPr>
        <w:footnoteReference w:id="3"/>
      </w:r>
      <w:r w:rsidRPr="009046D5">
        <w:rPr>
          <w:sz w:val="28"/>
          <w:szCs w:val="28"/>
        </w:rPr>
        <w:t xml:space="preserve">; Федеральный закон от 26 октября </w:t>
      </w:r>
      <w:smartTag w:uri="urn:schemas-microsoft-com:office:smarttags" w:element="metricconverter">
        <w:smartTagPr>
          <w:attr w:name="ProductID" w:val="2002 г"/>
        </w:smartTagPr>
        <w:r w:rsidRPr="009046D5">
          <w:rPr>
            <w:sz w:val="28"/>
            <w:szCs w:val="28"/>
          </w:rPr>
          <w:t>2002 г</w:t>
        </w:r>
      </w:smartTag>
      <w:r w:rsidRPr="009046D5">
        <w:rPr>
          <w:sz w:val="28"/>
          <w:szCs w:val="28"/>
        </w:rPr>
        <w:t>. (в редакции от 28 декабря 2020 г.) «О несостоятельности (банкротстве)»</w:t>
      </w:r>
      <w:r w:rsidRPr="009046D5">
        <w:rPr>
          <w:rStyle w:val="a4"/>
          <w:rFonts w:eastAsia="Calibri"/>
          <w:bCs/>
          <w:color w:val="000000"/>
          <w:sz w:val="28"/>
          <w:szCs w:val="28"/>
        </w:rPr>
        <w:footnoteReference w:id="4"/>
      </w:r>
      <w:r w:rsidRPr="009046D5">
        <w:rPr>
          <w:sz w:val="28"/>
          <w:szCs w:val="28"/>
        </w:rPr>
        <w:t xml:space="preserve"> и другие нормативные акты.</w:t>
      </w:r>
    </w:p>
    <w:p w:rsidR="009046D5" w:rsidRPr="009046D5" w:rsidRDefault="009046D5" w:rsidP="009046D5">
      <w:pPr>
        <w:pStyle w:val="a6"/>
        <w:shd w:val="clear" w:color="auto" w:fill="auto"/>
        <w:spacing w:after="0" w:line="360" w:lineRule="auto"/>
        <w:ind w:firstLine="709"/>
        <w:jc w:val="both"/>
        <w:rPr>
          <w:color w:val="000000"/>
          <w:sz w:val="28"/>
          <w:szCs w:val="28"/>
        </w:rPr>
      </w:pPr>
      <w:r w:rsidRPr="009046D5">
        <w:rPr>
          <w:color w:val="000000"/>
          <w:sz w:val="28"/>
          <w:szCs w:val="28"/>
        </w:rPr>
        <w:t xml:space="preserve">Теоретическую основу исследования представляют научные труды видных отечественных цивилистов, таких как </w:t>
      </w:r>
      <w:proofErr w:type="spellStart"/>
      <w:r w:rsidRPr="009046D5">
        <w:rPr>
          <w:color w:val="000000"/>
          <w:sz w:val="28"/>
          <w:szCs w:val="28"/>
        </w:rPr>
        <w:t>Витрянский</w:t>
      </w:r>
      <w:proofErr w:type="spellEnd"/>
      <w:r w:rsidRPr="009046D5">
        <w:rPr>
          <w:color w:val="000000"/>
          <w:sz w:val="28"/>
          <w:szCs w:val="28"/>
        </w:rPr>
        <w:t xml:space="preserve"> В.В., Гукасян Р.Е., Карелина С.А., Карелина С.А., </w:t>
      </w:r>
      <w:proofErr w:type="spellStart"/>
      <w:r w:rsidRPr="009046D5">
        <w:rPr>
          <w:color w:val="000000"/>
          <w:sz w:val="28"/>
          <w:szCs w:val="28"/>
        </w:rPr>
        <w:t>Кораев</w:t>
      </w:r>
      <w:proofErr w:type="spellEnd"/>
      <w:r w:rsidRPr="009046D5">
        <w:rPr>
          <w:color w:val="000000"/>
          <w:sz w:val="28"/>
          <w:szCs w:val="28"/>
        </w:rPr>
        <w:t xml:space="preserve"> К.Б., </w:t>
      </w:r>
      <w:proofErr w:type="spellStart"/>
      <w:r w:rsidRPr="009046D5">
        <w:rPr>
          <w:color w:val="000000"/>
          <w:sz w:val="28"/>
          <w:szCs w:val="28"/>
        </w:rPr>
        <w:t>Мантул</w:t>
      </w:r>
      <w:proofErr w:type="spellEnd"/>
      <w:r w:rsidRPr="009046D5">
        <w:rPr>
          <w:color w:val="000000"/>
          <w:sz w:val="28"/>
          <w:szCs w:val="28"/>
        </w:rPr>
        <w:t xml:space="preserve"> Г.А., Милов П.О., Наумов O.A., Никитина O.A., </w:t>
      </w:r>
      <w:proofErr w:type="spellStart"/>
      <w:r w:rsidRPr="009046D5">
        <w:rPr>
          <w:color w:val="000000"/>
          <w:sz w:val="28"/>
          <w:szCs w:val="28"/>
        </w:rPr>
        <w:t>Ращевский</w:t>
      </w:r>
      <w:proofErr w:type="spellEnd"/>
      <w:r w:rsidRPr="009046D5">
        <w:rPr>
          <w:color w:val="000000"/>
          <w:sz w:val="28"/>
          <w:szCs w:val="28"/>
        </w:rPr>
        <w:t xml:space="preserve"> Е. К., </w:t>
      </w:r>
      <w:proofErr w:type="spellStart"/>
      <w:r w:rsidRPr="009046D5">
        <w:rPr>
          <w:color w:val="000000"/>
          <w:sz w:val="28"/>
          <w:szCs w:val="28"/>
        </w:rPr>
        <w:t>Свирин</w:t>
      </w:r>
      <w:proofErr w:type="spellEnd"/>
      <w:r w:rsidRPr="009046D5">
        <w:rPr>
          <w:color w:val="000000"/>
          <w:sz w:val="28"/>
          <w:szCs w:val="28"/>
        </w:rPr>
        <w:t xml:space="preserve"> Ю.А., Степанов В.В., </w:t>
      </w:r>
      <w:proofErr w:type="spellStart"/>
      <w:r w:rsidRPr="009046D5">
        <w:rPr>
          <w:color w:val="000000"/>
          <w:sz w:val="28"/>
          <w:szCs w:val="28"/>
        </w:rPr>
        <w:t>Телюкина</w:t>
      </w:r>
      <w:proofErr w:type="spellEnd"/>
      <w:r w:rsidRPr="009046D5">
        <w:rPr>
          <w:color w:val="000000"/>
          <w:sz w:val="28"/>
          <w:szCs w:val="28"/>
        </w:rPr>
        <w:t xml:space="preserve"> M.B., Ткачев В.Н., Химичев В.А., </w:t>
      </w:r>
      <w:proofErr w:type="spellStart"/>
      <w:r w:rsidRPr="009046D5">
        <w:rPr>
          <w:color w:val="000000"/>
          <w:sz w:val="28"/>
          <w:szCs w:val="28"/>
        </w:rPr>
        <w:t>Шершеневич</w:t>
      </w:r>
      <w:proofErr w:type="spellEnd"/>
      <w:r w:rsidRPr="009046D5">
        <w:rPr>
          <w:color w:val="000000"/>
          <w:sz w:val="28"/>
          <w:szCs w:val="28"/>
        </w:rPr>
        <w:t xml:space="preserve"> Г.Ф. и ряда других.</w:t>
      </w:r>
    </w:p>
    <w:p w:rsidR="009046D5" w:rsidRPr="005A70EB" w:rsidRDefault="009046D5" w:rsidP="005A70EB">
      <w:pPr>
        <w:pStyle w:val="a6"/>
        <w:shd w:val="clear" w:color="auto" w:fill="auto"/>
        <w:spacing w:after="0" w:line="360" w:lineRule="auto"/>
        <w:ind w:firstLine="709"/>
        <w:jc w:val="both"/>
        <w:rPr>
          <w:color w:val="000000"/>
          <w:sz w:val="28"/>
          <w:szCs w:val="28"/>
        </w:rPr>
      </w:pPr>
      <w:r w:rsidRPr="009046D5">
        <w:rPr>
          <w:color w:val="000000"/>
          <w:sz w:val="28"/>
          <w:szCs w:val="28"/>
        </w:rPr>
        <w:t>Работа имеет высокую научно-практическую значимость, т.к. ее  материалы могут быть использованы в учебной деятельности, при подготовке семинарских занятий, а также в правоприменительной практике, при совершенствовании действующего законодательства Российской Федерации о банкротстве наследственной массы.</w:t>
      </w:r>
      <w:bookmarkStart w:id="0" w:name="_GoBack"/>
      <w:bookmarkEnd w:id="0"/>
      <w:r w:rsidRPr="009046D5">
        <w:rPr>
          <w:rFonts w:eastAsia="Times New Roman"/>
          <w:sz w:val="28"/>
          <w:szCs w:val="28"/>
          <w:lang w:eastAsia="ru-RU"/>
        </w:rPr>
        <w:br w:type="page"/>
      </w:r>
    </w:p>
    <w:sectPr w:rsidR="009046D5" w:rsidRPr="005A70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44" w:rsidRDefault="00091A44" w:rsidP="009046D5">
      <w:pPr>
        <w:spacing w:after="0" w:line="240" w:lineRule="auto"/>
      </w:pPr>
      <w:r>
        <w:separator/>
      </w:r>
    </w:p>
  </w:endnote>
  <w:endnote w:type="continuationSeparator" w:id="0">
    <w:p w:rsidR="00091A44" w:rsidRDefault="00091A44" w:rsidP="0090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44" w:rsidRDefault="00091A44" w:rsidP="009046D5">
      <w:pPr>
        <w:spacing w:after="0" w:line="240" w:lineRule="auto"/>
      </w:pPr>
      <w:r>
        <w:separator/>
      </w:r>
    </w:p>
  </w:footnote>
  <w:footnote w:type="continuationSeparator" w:id="0">
    <w:p w:rsidR="00091A44" w:rsidRDefault="00091A44" w:rsidP="009046D5">
      <w:pPr>
        <w:spacing w:after="0" w:line="240" w:lineRule="auto"/>
      </w:pPr>
      <w:r>
        <w:continuationSeparator/>
      </w:r>
    </w:p>
  </w:footnote>
  <w:footnote w:id="1">
    <w:p w:rsidR="009046D5" w:rsidRPr="00843CDD" w:rsidRDefault="009046D5" w:rsidP="009046D5">
      <w:pPr>
        <w:pStyle w:val="a7"/>
        <w:spacing w:after="0" w:line="240" w:lineRule="auto"/>
        <w:jc w:val="both"/>
        <w:rPr>
          <w:rFonts w:ascii="Times New Roman" w:hAnsi="Times New Roman"/>
          <w:sz w:val="2"/>
          <w:szCs w:val="2"/>
        </w:rPr>
      </w:pPr>
      <w:r w:rsidRPr="00843CDD">
        <w:rPr>
          <w:rStyle w:val="a4"/>
          <w:rFonts w:ascii="Times New Roman" w:hAnsi="Times New Roman"/>
          <w:sz w:val="2"/>
          <w:szCs w:val="2"/>
        </w:rPr>
        <w:footnoteRef/>
      </w:r>
      <w:r w:rsidRPr="00843CDD">
        <w:rPr>
          <w:rFonts w:ascii="Times New Roman" w:hAnsi="Times New Roman"/>
          <w:sz w:val="2"/>
          <w:szCs w:val="2"/>
        </w:rPr>
        <w:t xml:space="preserve"> </w:t>
      </w:r>
      <w:r w:rsidRPr="00843CDD">
        <w:rPr>
          <w:rFonts w:ascii="Times New Roman" w:hAnsi="Times New Roman"/>
          <w:bCs/>
          <w:color w:val="000000"/>
          <w:sz w:val="2"/>
          <w:szCs w:val="2"/>
        </w:rPr>
        <w:t>Собрание законодательства Российской Федерации, 1994, № 32,  ст. 3301; 2020, № 44, ст. 5641.</w:t>
      </w:r>
    </w:p>
  </w:footnote>
  <w:footnote w:id="2">
    <w:p w:rsidR="009046D5" w:rsidRPr="00843CDD" w:rsidRDefault="009046D5" w:rsidP="009046D5">
      <w:pPr>
        <w:pStyle w:val="a7"/>
        <w:spacing w:after="0" w:line="240" w:lineRule="auto"/>
        <w:jc w:val="both"/>
        <w:rPr>
          <w:rFonts w:ascii="Times New Roman" w:hAnsi="Times New Roman"/>
          <w:sz w:val="2"/>
          <w:szCs w:val="2"/>
        </w:rPr>
      </w:pPr>
      <w:r w:rsidRPr="00843CDD">
        <w:rPr>
          <w:rStyle w:val="a4"/>
          <w:rFonts w:ascii="Times New Roman" w:hAnsi="Times New Roman"/>
          <w:sz w:val="2"/>
          <w:szCs w:val="2"/>
        </w:rPr>
        <w:footnoteRef/>
      </w:r>
      <w:r w:rsidRPr="00843CDD">
        <w:rPr>
          <w:rFonts w:ascii="Times New Roman" w:hAnsi="Times New Roman"/>
          <w:sz w:val="2"/>
          <w:szCs w:val="2"/>
        </w:rPr>
        <w:t xml:space="preserve"> </w:t>
      </w:r>
      <w:r w:rsidRPr="00843CDD">
        <w:rPr>
          <w:rFonts w:ascii="Times New Roman" w:hAnsi="Times New Roman"/>
          <w:bCs/>
          <w:color w:val="000000"/>
          <w:sz w:val="2"/>
          <w:szCs w:val="2"/>
        </w:rPr>
        <w:t>Собрание законодательства Российской Федерации, 2002, № 46 ст. 4532; 2020, № 52 (ч. I), ст. 7001.</w:t>
      </w:r>
    </w:p>
  </w:footnote>
  <w:footnote w:id="3">
    <w:p w:rsidR="009046D5" w:rsidRPr="00843CDD" w:rsidRDefault="009046D5" w:rsidP="009046D5">
      <w:pPr>
        <w:pStyle w:val="a7"/>
        <w:spacing w:after="0" w:line="240" w:lineRule="auto"/>
        <w:jc w:val="both"/>
        <w:rPr>
          <w:rFonts w:ascii="Times New Roman" w:hAnsi="Times New Roman"/>
          <w:sz w:val="2"/>
          <w:szCs w:val="2"/>
        </w:rPr>
      </w:pPr>
      <w:r w:rsidRPr="00843CDD">
        <w:rPr>
          <w:rStyle w:val="a4"/>
          <w:rFonts w:ascii="Times New Roman" w:hAnsi="Times New Roman"/>
          <w:sz w:val="2"/>
          <w:szCs w:val="2"/>
        </w:rPr>
        <w:footnoteRef/>
      </w:r>
      <w:r w:rsidRPr="00843CDD">
        <w:rPr>
          <w:rFonts w:ascii="Times New Roman" w:hAnsi="Times New Roman"/>
          <w:sz w:val="2"/>
          <w:szCs w:val="2"/>
        </w:rPr>
        <w:t xml:space="preserve"> </w:t>
      </w:r>
      <w:r w:rsidRPr="00843CDD">
        <w:rPr>
          <w:rFonts w:ascii="Times New Roman" w:hAnsi="Times New Roman"/>
          <w:bCs/>
          <w:color w:val="000000"/>
          <w:sz w:val="2"/>
          <w:szCs w:val="2"/>
        </w:rPr>
        <w:t>Собрание законодательства Российской Федерации, 2002. № 30 ст. 3012; 2020. № 44. Ст. 5641.</w:t>
      </w:r>
    </w:p>
  </w:footnote>
  <w:footnote w:id="4">
    <w:p w:rsidR="009046D5" w:rsidRPr="00843CDD" w:rsidRDefault="009046D5" w:rsidP="009046D5">
      <w:pPr>
        <w:pStyle w:val="a7"/>
        <w:spacing w:after="0" w:line="240" w:lineRule="auto"/>
        <w:jc w:val="both"/>
        <w:rPr>
          <w:rFonts w:ascii="Times New Roman" w:hAnsi="Times New Roman"/>
          <w:sz w:val="2"/>
          <w:szCs w:val="2"/>
        </w:rPr>
      </w:pPr>
      <w:r w:rsidRPr="00843CDD">
        <w:rPr>
          <w:rStyle w:val="a4"/>
          <w:rFonts w:ascii="Times New Roman" w:hAnsi="Times New Roman"/>
          <w:sz w:val="2"/>
          <w:szCs w:val="2"/>
        </w:rPr>
        <w:footnoteRef/>
      </w:r>
      <w:r w:rsidRPr="00843CDD">
        <w:rPr>
          <w:rFonts w:ascii="Times New Roman" w:hAnsi="Times New Roman"/>
          <w:sz w:val="2"/>
          <w:szCs w:val="2"/>
        </w:rPr>
        <w:t xml:space="preserve"> </w:t>
      </w:r>
      <w:r w:rsidRPr="00843CDD">
        <w:rPr>
          <w:rFonts w:ascii="Times New Roman" w:hAnsi="Times New Roman"/>
          <w:bCs/>
          <w:color w:val="000000"/>
          <w:sz w:val="2"/>
          <w:szCs w:val="2"/>
        </w:rPr>
        <w:t>Собрание законодательства Российской Федерации, 2002, № 43, ст. 4190; 2020, № 52 (часть I), ст. 6984.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191"/>
    <w:multiLevelType w:val="hybridMultilevel"/>
    <w:tmpl w:val="BE2058D8"/>
    <w:lvl w:ilvl="0" w:tplc="0A0A9B98">
      <w:numFmt w:val="bullet"/>
      <w:lvlText w:val="•"/>
      <w:lvlJc w:val="left"/>
      <w:pPr>
        <w:ind w:left="2119" w:hanging="14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EF41BDD"/>
    <w:multiLevelType w:val="hybridMultilevel"/>
    <w:tmpl w:val="58320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B95248"/>
    <w:multiLevelType w:val="hybridMultilevel"/>
    <w:tmpl w:val="91527B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8A9404B"/>
    <w:multiLevelType w:val="hybridMultilevel"/>
    <w:tmpl w:val="63366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D5"/>
    <w:rsid w:val="00091A44"/>
    <w:rsid w:val="001E1EB6"/>
    <w:rsid w:val="005A70EB"/>
    <w:rsid w:val="005F4AE1"/>
    <w:rsid w:val="006162B4"/>
    <w:rsid w:val="006334E2"/>
    <w:rsid w:val="006F0FF2"/>
    <w:rsid w:val="007400E6"/>
    <w:rsid w:val="009046D5"/>
    <w:rsid w:val="00C10388"/>
    <w:rsid w:val="00D81BF3"/>
    <w:rsid w:val="00E2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D5"/>
    <w:pPr>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uiPriority w:val="99"/>
    <w:semiHidden/>
    <w:qFormat/>
    <w:rsid w:val="009046D5"/>
    <w:rPr>
      <w:vertAlign w:val="superscript"/>
    </w:rPr>
  </w:style>
  <w:style w:type="character" w:customStyle="1" w:styleId="a5">
    <w:name w:val="Основной текст Знак"/>
    <w:link w:val="a6"/>
    <w:locked/>
    <w:rsid w:val="009046D5"/>
    <w:rPr>
      <w:sz w:val="27"/>
      <w:szCs w:val="27"/>
      <w:shd w:val="clear" w:color="auto" w:fill="FFFFFF"/>
    </w:rPr>
  </w:style>
  <w:style w:type="paragraph" w:styleId="a6">
    <w:name w:val="Body Text"/>
    <w:basedOn w:val="a"/>
    <w:link w:val="a5"/>
    <w:rsid w:val="009046D5"/>
    <w:pPr>
      <w:shd w:val="clear" w:color="auto" w:fill="FFFFFF"/>
      <w:spacing w:after="300" w:line="317" w:lineRule="exact"/>
      <w:jc w:val="center"/>
    </w:pPr>
    <w:rPr>
      <w:rFonts w:ascii="Times New Roman" w:hAnsi="Times New Roman" w:cs="Times New Roman"/>
      <w:sz w:val="27"/>
      <w:szCs w:val="27"/>
    </w:rPr>
  </w:style>
  <w:style w:type="character" w:customStyle="1" w:styleId="1">
    <w:name w:val="Основной текст Знак1"/>
    <w:basedOn w:val="a0"/>
    <w:uiPriority w:val="99"/>
    <w:semiHidden/>
    <w:rsid w:val="009046D5"/>
    <w:rPr>
      <w:rFonts w:asciiTheme="minorHAnsi" w:hAnsiTheme="minorHAnsi" w:cstheme="minorBidi"/>
      <w:sz w:val="22"/>
      <w:szCs w:val="22"/>
    </w:rPr>
  </w:style>
  <w:style w:type="paragraph" w:styleId="a7">
    <w:name w:val="footnote text"/>
    <w:aliases w:val="Знак2,Текст сноски Знак Знак,Знак6 Знак Знак,Знак6, Знак6 Знак Знак,Текст сноски Знак Знак Знак Знак Знак Знак Знак Знак,Текст сноски Знак Знак Знак Знак Знак Знак Знак,Текст сноски Знак Знак Знак Знак Знак Знак"/>
    <w:basedOn w:val="a"/>
    <w:link w:val="a8"/>
    <w:uiPriority w:val="99"/>
    <w:semiHidden/>
    <w:rsid w:val="009046D5"/>
    <w:pPr>
      <w:spacing w:after="200" w:line="276" w:lineRule="auto"/>
    </w:pPr>
    <w:rPr>
      <w:rFonts w:ascii="Calibri" w:eastAsia="Calibri" w:hAnsi="Calibri" w:cs="Times New Roman"/>
      <w:sz w:val="20"/>
      <w:szCs w:val="20"/>
    </w:rPr>
  </w:style>
  <w:style w:type="character" w:customStyle="1" w:styleId="a8">
    <w:name w:val="Текст сноски Знак"/>
    <w:aliases w:val="Знак2 Знак,Текст сноски Знак Знак Знак,Знак6 Знак Знак Знак,Знак6 Знак, Знак6 Знак Знак Знак,Текст сноски Знак Знак Знак Знак Знак Знак Знак Знак Знак,Текст сноски Знак Знак Знак Знак Знак Знак Знак Знак1"/>
    <w:basedOn w:val="a0"/>
    <w:link w:val="a7"/>
    <w:uiPriority w:val="99"/>
    <w:semiHidden/>
    <w:rsid w:val="009046D5"/>
    <w:rPr>
      <w:rFonts w:ascii="Calibri" w:eastAsia="Calibri" w:hAnsi="Calibri"/>
      <w:sz w:val="20"/>
      <w:szCs w:val="20"/>
    </w:rPr>
  </w:style>
  <w:style w:type="character" w:styleId="a9">
    <w:name w:val="Hyperlink"/>
    <w:basedOn w:val="a0"/>
    <w:uiPriority w:val="99"/>
    <w:unhideWhenUsed/>
    <w:rsid w:val="00C10388"/>
    <w:rPr>
      <w:color w:val="0000FF" w:themeColor="hyperlink"/>
      <w:u w:val="single"/>
    </w:rPr>
  </w:style>
  <w:style w:type="character" w:styleId="aa">
    <w:name w:val="FollowedHyperlink"/>
    <w:basedOn w:val="a0"/>
    <w:uiPriority w:val="99"/>
    <w:semiHidden/>
    <w:unhideWhenUsed/>
    <w:rsid w:val="006F0F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D5"/>
    <w:pPr>
      <w:spacing w:after="160" w:line="259"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uiPriority w:val="99"/>
    <w:semiHidden/>
    <w:qFormat/>
    <w:rsid w:val="009046D5"/>
    <w:rPr>
      <w:vertAlign w:val="superscript"/>
    </w:rPr>
  </w:style>
  <w:style w:type="character" w:customStyle="1" w:styleId="a5">
    <w:name w:val="Основной текст Знак"/>
    <w:link w:val="a6"/>
    <w:locked/>
    <w:rsid w:val="009046D5"/>
    <w:rPr>
      <w:sz w:val="27"/>
      <w:szCs w:val="27"/>
      <w:shd w:val="clear" w:color="auto" w:fill="FFFFFF"/>
    </w:rPr>
  </w:style>
  <w:style w:type="paragraph" w:styleId="a6">
    <w:name w:val="Body Text"/>
    <w:basedOn w:val="a"/>
    <w:link w:val="a5"/>
    <w:rsid w:val="009046D5"/>
    <w:pPr>
      <w:shd w:val="clear" w:color="auto" w:fill="FFFFFF"/>
      <w:spacing w:after="300" w:line="317" w:lineRule="exact"/>
      <w:jc w:val="center"/>
    </w:pPr>
    <w:rPr>
      <w:rFonts w:ascii="Times New Roman" w:hAnsi="Times New Roman" w:cs="Times New Roman"/>
      <w:sz w:val="27"/>
      <w:szCs w:val="27"/>
    </w:rPr>
  </w:style>
  <w:style w:type="character" w:customStyle="1" w:styleId="1">
    <w:name w:val="Основной текст Знак1"/>
    <w:basedOn w:val="a0"/>
    <w:uiPriority w:val="99"/>
    <w:semiHidden/>
    <w:rsid w:val="009046D5"/>
    <w:rPr>
      <w:rFonts w:asciiTheme="minorHAnsi" w:hAnsiTheme="minorHAnsi" w:cstheme="minorBidi"/>
      <w:sz w:val="22"/>
      <w:szCs w:val="22"/>
    </w:rPr>
  </w:style>
  <w:style w:type="paragraph" w:styleId="a7">
    <w:name w:val="footnote text"/>
    <w:aliases w:val="Знак2,Текст сноски Знак Знак,Знак6 Знак Знак,Знак6, Знак6 Знак Знак,Текст сноски Знак Знак Знак Знак Знак Знак Знак Знак,Текст сноски Знак Знак Знак Знак Знак Знак Знак,Текст сноски Знак Знак Знак Знак Знак Знак"/>
    <w:basedOn w:val="a"/>
    <w:link w:val="a8"/>
    <w:uiPriority w:val="99"/>
    <w:semiHidden/>
    <w:rsid w:val="009046D5"/>
    <w:pPr>
      <w:spacing w:after="200" w:line="276" w:lineRule="auto"/>
    </w:pPr>
    <w:rPr>
      <w:rFonts w:ascii="Calibri" w:eastAsia="Calibri" w:hAnsi="Calibri" w:cs="Times New Roman"/>
      <w:sz w:val="20"/>
      <w:szCs w:val="20"/>
    </w:rPr>
  </w:style>
  <w:style w:type="character" w:customStyle="1" w:styleId="a8">
    <w:name w:val="Текст сноски Знак"/>
    <w:aliases w:val="Знак2 Знак,Текст сноски Знак Знак Знак,Знак6 Знак Знак Знак,Знак6 Знак, Знак6 Знак Знак Знак,Текст сноски Знак Знак Знак Знак Знак Знак Знак Знак Знак,Текст сноски Знак Знак Знак Знак Знак Знак Знак Знак1"/>
    <w:basedOn w:val="a0"/>
    <w:link w:val="a7"/>
    <w:uiPriority w:val="99"/>
    <w:semiHidden/>
    <w:rsid w:val="009046D5"/>
    <w:rPr>
      <w:rFonts w:ascii="Calibri" w:eastAsia="Calibri" w:hAnsi="Calibri"/>
      <w:sz w:val="20"/>
      <w:szCs w:val="20"/>
    </w:rPr>
  </w:style>
  <w:style w:type="character" w:styleId="a9">
    <w:name w:val="Hyperlink"/>
    <w:basedOn w:val="a0"/>
    <w:uiPriority w:val="99"/>
    <w:unhideWhenUsed/>
    <w:rsid w:val="00C10388"/>
    <w:rPr>
      <w:color w:val="0000FF" w:themeColor="hyperlink"/>
      <w:u w:val="single"/>
    </w:rPr>
  </w:style>
  <w:style w:type="character" w:styleId="aa">
    <w:name w:val="FollowedHyperlink"/>
    <w:basedOn w:val="a0"/>
    <w:uiPriority w:val="99"/>
    <w:semiHidden/>
    <w:unhideWhenUsed/>
    <w:rsid w:val="006F0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2022-10-04T16:35:00Z</dcterms:created>
  <dcterms:modified xsi:type="dcterms:W3CDTF">2022-10-18T06:36:00Z</dcterms:modified>
</cp:coreProperties>
</file>