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0" w:leftChars="0" w:firstLine="480" w:firstLineChars="200"/>
        <w:jc w:val="right"/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rtl w:val="0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rtl w:val="0"/>
        </w:rPr>
        <w:t>Лабораторная работа №3 корпусные исследования</w:t>
      </w: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rtl w:val="0"/>
          <w:lang w:val="ru-RU"/>
        </w:rPr>
        <w:t xml:space="preserve"> </w:t>
      </w:r>
    </w:p>
    <w:p>
      <w:pPr>
        <w:spacing w:line="240" w:lineRule="auto"/>
        <w:ind w:left="0" w:leftChars="0" w:firstLine="480" w:firstLineChars="200"/>
        <w:jc w:val="right"/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rtl w:val="0"/>
          <w:lang w:val="ru-RU"/>
        </w:rPr>
      </w:pPr>
      <w:bookmarkStart w:id="0" w:name="_GoBack"/>
      <w:bookmarkEnd w:id="0"/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rtl w:val="0"/>
          <w:lang w:val="ru-RU"/>
        </w:rPr>
        <w:t>Кругликова Елена Владиславовна, Л-14</w:t>
      </w:r>
    </w:p>
    <w:p>
      <w:p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 xml:space="preserve">1.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 xml:space="preserve">Изучите основную информацию о национальном корпусе русского языка (НКРЯ) на сайте http://www.ruscorpora.ru , раздел FAQ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</w:rPr>
        <w:instrText xml:space="preserve"> HYPERLINK "https://ruscorpora.ru/page/faq/" \h </w:instrTex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1155CC"/>
          <w:sz w:val="24"/>
          <w:szCs w:val="24"/>
          <w:u w:val="single"/>
          <w:rtl w:val="0"/>
        </w:rPr>
        <w:t>https://ruscorpora.ru/page/faq/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1155CC"/>
          <w:sz w:val="24"/>
          <w:szCs w:val="24"/>
          <w:u w:val="single"/>
          <w:rtl w:val="0"/>
        </w:rPr>
        <w:fldChar w:fldCharType="end"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 xml:space="preserve"> , сайт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</w:rPr>
        <w:instrText xml:space="preserve"> HYPERLINK "https://studiorum.ruscorpora.ru" \h </w:instrTex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1155CC"/>
          <w:sz w:val="24"/>
          <w:szCs w:val="24"/>
          <w:u w:val="single"/>
          <w:rtl w:val="0"/>
        </w:rPr>
        <w:t>https://studiorum.ruscorpora.ru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1155CC"/>
          <w:sz w:val="24"/>
          <w:szCs w:val="24"/>
          <w:u w:val="single"/>
          <w:rtl w:val="0"/>
        </w:rPr>
        <w:fldChar w:fldCharType="end"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 xml:space="preserve"> и ответьте на следующие вопросы:- Кто является создателем НКРЯ?</w:t>
      </w:r>
    </w:p>
    <w:p>
      <w:p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 xml:space="preserve">Всё началось с Центра лингвистической документации. Так назывался кружок московских лингвистов под руководством В. А. Плунгяна и М. А. Даниэля, проводивший цикл семинаров в Центре непрерывного математического образования по приглашению руководителей центра. Инициатива, как и во многих других лингвистических начинаниях, исходила от математиков - И. С. Красильщика и С. К. Ландо. Идея создания кружка состояла в том, чтобы объединить разрозненные усилия лингвистов и программистов по созданию исследовательских инструментов нового поколения: баз данных, программ автоматического поиска, интеллектуальных систем, а также корпусов текстов. Первый семинар состоялся 13 октября 2000 года, и на нём уже обсуждались основные темы, которые стали лейтмотивом дальней- шей деятельности кружка. Говорилось о том, что несмотря на давнее и постоянное внимание отечественных лингвистов к проблеме компьютеризации и информатизации своей науки - прежде всего, к удобному хранению языковых данных в компьютерном виде - в этой области имеется до обидного мало результатов, доступных всему лингвистическому сообществу. </w:t>
      </w:r>
    </w:p>
    <w:p>
      <w:p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>В отечественной прикладной лингвистике зияла парадоксальная брешь - по сути, не было общедоступного представительного и аннотированного (размеченного) корпуса русского языка, с которым можно было работать лингвисту. Отечественная корпусная лингвистика началась как минимум с 1980-х годов, с работ А. П. Ершова и В. М. Андрющенко, посвящённых тому, «каким должен быть» машинный фонд русского языка. Тогда же в Институте русского языка имени В. В. Виноградова РАН был создан Отдел машинного фонда, занимавшийся, в частности, переводом русских литературных текстов в электронную форму.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>К сожалению, технических и организационных возможностей для того, чтобы создать полноценный машинный фонд текстов русского языка, в тот период не хватило.</w:t>
      </w:r>
    </w:p>
    <w:p>
      <w:p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>У В. А. Плунгяна, М. А. Даниэля, А. А. Егорушкина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 xml:space="preserve">и некоторых других (обсуждавших эту идею в первые месяцы 2001 г.) возникали варианты названия вроде «Стандартный корпус русского языка», «Представительный корпус русского языка» (под «представительностью» мы тогда имели в ви- ду довольно субъективную «нормативность»), «Русский стандарт» (в чём была изрядная доля шутки - так называлась активно рекла- мировавшаяся в то время водка, а на Воздвиженке около Институ- та языкознания висел рекламный щит этого напитка, который нас вО многом вдохновлял: «РУССКИЙ СТАНДАРТ: СДЕЛАТЬ НЕ- ВОЗМОЖНОЕ»).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>Т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>ехнически-программистскую поддержку корпус получил со стороны компании «Яндекс», ранее уже участвовавшей в лингвистических проектах и заинтересованной в корпусе как в важном средстве совершенствования целого ряда программ автоматической обработки текста; тогда же состоялись первые встречи участников ЦЛД с техническим директором компании И. В. Сегаловичем и программистом В. А. Титовым, которые до сих пор являются ключевыми участниками работ по Корпусу.</w:t>
      </w:r>
    </w:p>
    <w:p>
      <w:p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>(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 xml:space="preserve"> http://www.inforeg.ru/electron/concord/concord.htm ). Сотрудничество облегчало то, что созданными «Яндексом» при участии сотрудников Лаборатории компьютерной лингвистики ИППИ РАН (программа Mystem); им также был разработан шаблон для правки разметки в текстовом редакторе и интерфейс поиска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>,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 xml:space="preserve"> начались работы по снятию морфологической омонимии в небольшом - тогда ещё даже менее 1 млн. словоупотреблений - корпусе, состоявшем из художественных текстов второй половины XX в. (всего несколько авторов: Аксёнов, И. Грекова, Трифонов, Довлатов, Татьяна Толстая). Снятие омонимии (тогда оно было полностью ручным) финансировал «Яндекс», а работали студенты и аспиранты МГУ и РГГУ. В сентябре 2001 г. мы с И. В. Сегаловичем и А. Е. Поляковым сделали доклад о корпусе на очередном после летних каникул с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>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>минаре ЦЛД -- это был уже не широковещательный прожект, а отчёт о действительно проделанной работе. Данный этап деятел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>ь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 xml:space="preserve">ности был отражён в моей статье, которую тогда же и отдали в печать, но к моменту выхода она, что достаточно показательно для истории нашего Корпуса, успела сильно устареть. </w:t>
      </w:r>
    </w:p>
    <w:p>
      <w:p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 xml:space="preserve">Теперь о материальной стороне дела: бюджете. Корпус получил поддержку по ряду грантов. Первым, как я уже сказал, поддержку нашему начинанию оказал «Яндекс»: деньги были потрачены на разметку «пилотного» корпуса с помощью программы И. В. Сегаловича и на снятие в нем омонимии. Потом наступил финансовый перерыв - в это время мы решили попробовать перейти на другую программу морфологического анализа, которая базировалась на грамматическом словаре А. А. Зализняка, - Dialing, создававшейся А. В. Сокирко и Д. В. Панкратовым (изначально - для системы, которая делалась под руководством Н. Н. Леонтьевой). Но всякую, даже очень хорошую программу, надо «дотягивать» и приспосаб- ливать - и мы гордимся, что, совершенствуя снятие омонимии, так сказать, в новых условиях, мы работали бок о бок с этими программистами. Тут нам помог молодежный грант Президиума РАН (ведь омонимию снимали в основном студенты и аспиранты!). Интересы создателей Корпуса быстро вышли за пределы ком- пактного корпуса текстов «хороших писателей». </w:t>
      </w:r>
    </w:p>
    <w:p>
      <w:p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 xml:space="preserve">Корпус - это прежде всего люди. Энтузиазм, идеи (разной степени «безумности») и просто человеческое участие и помощь. Число людей, имеющих отношение к этому проекту, непрерывно растет. С конца 2002 г. корпус со снятой омонимией стал доступен для поиска - пока ещё под паролем по адресу www.ruscorроrа.ru, на сервере компании «Яндекс». Интересно, что буквально с того вре- мени, как «Яндекс» зарегистрировал это доменное имя, к нему было приковано внимание деятелей Интернета - моментально в службу поддержки стал приходить поток писем: «что это?», «что это за новый проект Яндекса?» И в дальнейшем Национальный корпус привлекал интерес программистов, компьютерщиков и всех, кто интересовался развитием Рунета. Уже в первые месяцы после официального открытия Корпус стал предметом рецензий в профессиональной компьютерной среде, для которой теоретическая лингвистика представляла лишь косвенный интерес, на таких сайтах, как «Вебинформ». Информация о сайте, несмотря на о сутствие открытого доступа, распространилась среди лингвистов, причём не только в России, достаточно быстро; так, уже весной 2003 года он регулярно использовался в преподавании русского языка в Карловом университете Праги (в чём принял некоторое участие и автор этих строк, посетивший тогда традиционную Школу Матезиуса и ставший свидетелем огромного интереса к нашему проекту как со стороны математических лингвистов, создателей Чешского национального корпуса, таких, как В. Петкевич или Я. Гайич, так и русистов - преподавателей Восточнославянской кафедры философского факультета). 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t>В проекте участвуют специалисты Института русского языка им. В. В. Виноградова РАН [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fldChar w:fldCharType="begin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instrText xml:space="preserve"> HYPERLINK "http://www.ruslang.ru/" \t "https://ruscorpora.ru/page/corpora-about/_blank" </w:instrTex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fldChar w:fldCharType="separate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t>ИРЯ РАН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fldChar w:fldCharType="end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t>], Национального исследовательского института «Высшая школа экономики» [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fldChar w:fldCharType="begin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instrText xml:space="preserve"> HYPERLINK "http://www.hse.ru/" \t "https://ruscorpora.ru/page/corpora-about/_blank" </w:instrTex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fldChar w:fldCharType="separate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t>ВШЭ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fldChar w:fldCharType="end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t>], Института проблем передачи информации РАН [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fldChar w:fldCharType="begin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instrText xml:space="preserve"> HYPERLINK "http://www.iitp.ru/" \t "https://ruscorpora.ru/page/corpora-about/_blank" </w:instrTex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fldChar w:fldCharType="separate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t>ИППИ РАН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fldChar w:fldCharType="end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t>], Института лингвистических исследований РАН [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fldChar w:fldCharType="begin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instrText xml:space="preserve"> HYPERLINK "http://www.iling.spb.ru/" \t "https://ruscorpora.ru/page/corpora-about/_blank" </w:instrTex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fldChar w:fldCharType="separate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t>ИЛИ РАН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fldChar w:fldCharType="end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t>] в  Санкт-Петербурге, 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fldChar w:fldCharType="begin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instrText xml:space="preserve"> HYPERLINK "http://www.vsu.ru/" \t "https://ruscorpora.ru/page/corpora-about/_blank" </w:instrTex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fldChar w:fldCharType="separate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t>Воронежского государственного университета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fldChar w:fldCharType="end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t>. Программную и организационную поддержку проекту с его основания оказывает компания «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fldChar w:fldCharType="begin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instrText xml:space="preserve"> HYPERLINK "http://yandex.ru/" </w:instrTex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fldChar w:fldCharType="separate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t>Яндекс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fldChar w:fldCharType="end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t>». На протяжении истории Корпуса в проекте участвовали сотрудники многих других организаций, независимые исследователи, студенты и аспиранты, волонтёры.Подробная информация о сотрудниках проекта, на разных этапах принимавших участие в работе над Корпусом, размещена на странице «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fldChar w:fldCharType="begin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instrText xml:space="preserve"> HYPERLINK "https://ruscorpora.ru/page/corpora-team/" </w:instrTex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fldChar w:fldCharType="separate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t>Участники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fldChar w:fldCharType="end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kern w:val="0"/>
          <w:sz w:val="24"/>
          <w:szCs w:val="24"/>
          <w:rtl w:val="0"/>
          <w:lang w:val="ru"/>
        </w:rPr>
        <w:t>».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>- Чем характеризуется национальный корпус? Каков его состав?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sz w:val="24"/>
          <w:szCs w:val="24"/>
          <w:lang w:val="ru-RU"/>
        </w:rPr>
        <w:t xml:space="preserve">Национальный корпус 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sz w:val="24"/>
          <w:szCs w:val="24"/>
        </w:rPr>
        <w:t>представителен и сбалансирован, т. е. содержит все типы письменных и устных текстов, представленных в данном языке (художественные разных жанров, публицистические, учебные, научные, деловые, разговорные, диалектные и т.п.), и все эти тексты входят в корпус по возможности пропорционально их доле в языке соответствующего периода. Во-вторых, корпус содержит особую дополнительную информацию о свойствах входящих в него текстов (так называемую разметку, или аннотацию).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sz w:val="24"/>
          <w:szCs w:val="24"/>
        </w:rPr>
        <w:t>В Национальном корпусе русского языка в настоящее время широко используются три типа разметки: метатекстовая (она характеризует текст в целом, с точки зрения его автора, жанровых и других особенностей), морфологическая и семантическая (морфологическая и семантическая разметки характеризуют не целый текст, а отдельное слово).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>- Зачем нужен корпус языка?Национальный корпус предназначен в первую очередь для научных исследований лексики и грамматики языка. Другая задача корпуса — предоставление всевозможных справок, относящихся к указанным областям (лексика, грамматика, акцентология, история языка). Раньше специалист мог лишь просматривать тексты и вручную выписывать из них нужные примеры; эта деятельность была очень трудоемкой и не позволяла обрабатывать большие массивы материала. Теперь ограничений на объем анализируемого материала и скорость поиска информации нет, а это означает, что в распоряжении ученого и преподавателя оказываются колоссальные массивы текстов самого разного типа. Основными пользователями национальных корпусов являются, конечно, исследователилингвисты самого разного профиля. Однако ими круг пользователей корпуса вовсе не ограничивается! Надежные статистические данные о языке определенной эпохи или определенного автора могут интересовать литературоведов, историков и представителей многих других областей гуманитарного знания. Важнейшее значение национальные корпуса имеют и для преподавания языка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>.</w:t>
      </w:r>
    </w:p>
    <w:p>
      <w:p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 xml:space="preserve">2.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 xml:space="preserve">Исследуйте вопрос о частоте использования слова «кофе» в мужском и среднем роде. Проверьте, насколько жизненным является предположение о том, что мужской род слова «кофе» объясняется широким использованием в России в разные периоды двойственного слова «кофий». Используйте временной период - последние 200 лет. </w:t>
      </w:r>
    </w:p>
    <w:p>
      <w:pPr>
        <w:numPr>
          <w:ilvl w:val="-2"/>
          <w:numId w:val="0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 xml:space="preserve">Слово кофий 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>было популярно в 19 веке.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 xml:space="preserve"> Предположение о том, что мужской род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>слова «кофе» объясняется широким использованием в России в разные периоды двойственного слова «кофий»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 xml:space="preserve"> необоснованно, так как словоформа «кофий» почти не употребляется в последние 200 лет.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>Пики популярности среднего рода приходятся на конец 19 века, когда большая часть России была занята в промышленном производстве. Полагаю, что сфера грамоты и образования в целом могли серьезно «западать» у русских представителей рабочего и крестьянского классов. Неудивительно, что слово «кофе» было переделано под «лад» обычных русских слов, заканчивающихся на Е и имеющих средний род: солнце, море, поле. Затем в 1930-1940 годы «кофе» среднего рода снова стало популярно. Возможные причины: 1)перестройка орфографии; 2)присоединение республик (Туркменская, Таджикская, Узбекская и т.д.), адаптирование слов под языковые особенности наций. В наши дни словоформа «кофе» среднего рода снова становится популярной.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drawing>
          <wp:inline distT="0" distB="0" distL="114300" distR="114300">
            <wp:extent cx="5731510" cy="2774315"/>
            <wp:effectExtent l="0" t="0" r="8890" b="6985"/>
            <wp:docPr id="1" name="Изображение 1" descr="2022-10-12_19-43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2022-10-12_19-43-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drawing>
          <wp:inline distT="0" distB="0" distL="114300" distR="114300">
            <wp:extent cx="5728970" cy="2461895"/>
            <wp:effectExtent l="0" t="0" r="11430" b="1905"/>
            <wp:docPr id="2" name="Изображение 2" descr="2022-10-12_19-44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2022-10-12_19-44-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drawing>
          <wp:inline distT="0" distB="0" distL="114300" distR="114300">
            <wp:extent cx="5727700" cy="2743200"/>
            <wp:effectExtent l="0" t="0" r="0" b="0"/>
            <wp:docPr id="3" name="Изображение 3" descr="2022-10-12_19-56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2022-10-12_19-56-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 xml:space="preserve">3.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>Сравните популярность использования в русском языке слов «компьютер» и «ЭВМ» в последнее столетие. Сделайте вывод о динамике изменений и основных тенденциях.</w:t>
      </w: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 xml:space="preserve">Слова «ЭВМ» и «компьютер» 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произошл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>и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 xml:space="preserve"> практически 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>в одно время. Это объясняется технической революцией 1970-ых гг., появлением электронно-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3684270</wp:posOffset>
                </wp:positionV>
                <wp:extent cx="1053465" cy="304800"/>
                <wp:effectExtent l="4445" t="4445" r="8890" b="8255"/>
                <wp:wrapNone/>
                <wp:docPr id="6" name="Текстовое 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43450" y="4203065"/>
                          <a:ext cx="105346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ЭВМ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.4pt;margin-top:290.1pt;height:24pt;width:82.95pt;z-index:251659264;mso-width-relative:page;mso-height-relative:page;" fillcolor="#FFFFFF [3201]" filled="t" stroked="t" coordsize="21600,21600" o:gfxdata="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EQIM7dcAAAALAQAADwAAAAAAAAABACAAAAAiAAAAZHJzL2Rv&#10;d25yZXYueG1sUEsBAhQAFAAAAAgAh07iQAMJsyR0AgAA1QQAAA4AAAAAAAAAAQAgAAAAJgEAAGRy&#10;cy9lMm9Eb2MueG1sUEsFBgAAAAAGAAYAWQEAAAw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ЭВМ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>вычислительных машин. Однако слово «компьютер» буквально вытеснило из обихода «ЭВМ». Лишь с 2022 года последнее снова начинает пользоваться популярностью, предположительно, как сленг среди профессионалов в технической сфере.</w:t>
      </w: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4209415</wp:posOffset>
                </wp:positionH>
                <wp:positionV relativeFrom="paragraph">
                  <wp:posOffset>3005455</wp:posOffset>
                </wp:positionV>
                <wp:extent cx="914400" cy="251460"/>
                <wp:effectExtent l="0" t="0" r="0" b="2540"/>
                <wp:wrapNone/>
                <wp:docPr id="8" name="Текстовое 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87215" y="4349115"/>
                          <a:ext cx="914400" cy="251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C00000"/>
                                <w:lang w:val="ru-RU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color w:val="C00000"/>
                                <w:lang w:val="ru-RU"/>
                              </w:rPr>
                              <w:t>ЭВМ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45pt;margin-top:236.65pt;height:19.8pt;width:72pt;z-index:251660288;mso-width-relative:page;mso-height-relative:page;" fillcolor="#FFFFFF [3201]" filled="t" stroked="f" coordsize="21600,21600" o:gfxdata="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14XEPaAAAACwEAAA8A&#10;AAAAAAAAAQAgAAAAIgAAAGRycy9kb3ducmV2LnhtbFBLAQIUABQAAAAIAIdO4kDDuE6ghwIAAOcE&#10;AAAOAAAAAAAAAAEAIAAAACkBAABkcnMvZTJvRG9jLnhtbFBLBQYAAAAABgAGAFkBAAAi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C00000"/>
                          <w:lang w:val="ru-RU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color w:val="C00000"/>
                          <w:lang w:val="ru-RU"/>
                        </w:rPr>
                        <w:t>ЭВМ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drawing>
          <wp:inline distT="0" distB="0" distL="114300" distR="114300">
            <wp:extent cx="5733415" cy="2637155"/>
            <wp:effectExtent l="0" t="0" r="6985" b="4445"/>
            <wp:docPr id="4" name="Изображение 4" descr="2022-10-12_19-59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2022-10-12_19-59-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drawing>
          <wp:inline distT="0" distB="0" distL="114300" distR="114300">
            <wp:extent cx="5459095" cy="2552065"/>
            <wp:effectExtent l="0" t="0" r="1905" b="635"/>
            <wp:docPr id="5" name="Изображение 5" descr="2022-10-12_20-00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2022-10-12_20-00-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 xml:space="preserve">4.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 xml:space="preserve">Исследуйте популярность профессий летчик, космонавт, врач, учитель, писатель, фотограф, используя частотный анализ по годам. Постарайтесь найти объяснения «пикам» популярности, связав их с историческими событиями в стране, культурными явлениями или другими причинами.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>Пики популярности в употреблении слов связаны с актуализацией профессий в конкретный период времени.</w:t>
      </w: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drawing>
          <wp:inline distT="0" distB="0" distL="114300" distR="114300">
            <wp:extent cx="5730240" cy="3818890"/>
            <wp:effectExtent l="0" t="0" r="10160" b="3810"/>
            <wp:docPr id="7" name="Изображение 7" descr="photo_2022-10-14_11-27-3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photo_2022-10-14_11-27-30 (3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</w:pP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 xml:space="preserve">1)Пик слова «учитель» приходится на 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 xml:space="preserve">XVIII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 xml:space="preserve">век, когда в России образование получали дети из семей разных сословий - купеческие имели домашнее образование, дети мещан – в государственных школах и начальных училищах, дети разночинцев обучались в гимназиях и Московском университете. Также появились первые начальные государственные школы и образование получало широкие слои населения. </w:t>
      </w: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 xml:space="preserve">Пик слова «врач» приходится на времена, когда люди сталкивались с болезнями и эпидемиями. Особенно точно это можно прочувствовать в связи с недавней эпидемией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/>
        </w:rPr>
        <w:t>COVID-19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>, когда профессия врач получила еще большую востребованность, следовательно, участилось использование этого слова.</w:t>
      </w: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</w:pP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drawing>
          <wp:inline distT="0" distB="0" distL="114300" distR="114300">
            <wp:extent cx="4921885" cy="3280410"/>
            <wp:effectExtent l="0" t="0" r="5715" b="8890"/>
            <wp:docPr id="9" name="Изображение 9" descr="photo_2022-10-14_11-27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photo_2022-10-14_11-27-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 xml:space="preserve"> </w:t>
      </w: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>2)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>Появление слова «космонавт» накладывается на пики в его использовании и приходятся на 1960-ые годы: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4 октября 1957 года – начало космической эры – был запущен первый искусственный спутник Земли (ПС-1).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 xml:space="preserve"> </w:t>
      </w:r>
    </w:p>
    <w:p>
      <w:pPr>
        <w:numPr>
          <w:ilvl w:val="-2"/>
          <w:numId w:val="0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12 апреля 1961 года советский космонавт Юрий Гагарин на космическом корабле «Восток-1» стартовал с космодрома «Байконур» и впервые в мире совершил орбитальный облёт планеты Земля. В 60-ю годовщину исторического события депутаты Мосгордумы поздравили москвичей и всех жителей страны с Днем космонавтики.</w:t>
      </w:r>
    </w:p>
    <w:p>
      <w:pPr>
        <w:numPr>
          <w:ilvl w:val="-2"/>
          <w:numId w:val="0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 xml:space="preserve">Пик употребления слова «летчик» приходится на 1940-ые годы. Это время, когда большая 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 xml:space="preserve">часть стран и народов Европы, Азии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 xml:space="preserve">принимали участие во 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Второй мировой войн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 xml:space="preserve">е. В этот «кровавый» период истории был всплеск военных профессий.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4"/>
          <w:szCs w:val="24"/>
          <w:shd w:val="clear" w:fill="FFFFFF"/>
          <w:lang w:val="ru-RU"/>
        </w:rPr>
        <w:t>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ru-RU"/>
        </w:rPr>
        <w:t>етчик является одной из таких.</w:t>
      </w:r>
    </w:p>
    <w:p>
      <w:pPr>
        <w:numPr>
          <w:ilvl w:val="-2"/>
          <w:numId w:val="0"/>
        </w:numPr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</w:p>
    <w:p>
      <w:pPr>
        <w:numPr>
          <w:ilvl w:val="-2"/>
          <w:numId w:val="0"/>
        </w:numPr>
        <w:spacing w:line="240" w:lineRule="auto"/>
        <w:ind w:firstLine="360" w:firstLineChars="15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>3)Наибольшую популярность сейчас получают такие творческие профессии, как фотограф и писатель. Именно поэтому пики их употребления приходятся на последние 100-200 лет. Интересно, что «фотограф» было частотно в 1970-80ые гг., что связано с технической революцией, появлением новых камер и фотоаппаратов.</w:t>
      </w:r>
    </w:p>
    <w:p>
      <w:pPr>
        <w:numPr>
          <w:ilvl w:val="-2"/>
          <w:numId w:val="0"/>
        </w:numPr>
        <w:spacing w:line="240" w:lineRule="auto"/>
        <w:ind w:left="0" w:leftChars="0" w:firstLine="360" w:firstLineChars="15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>А слово «писатель» отмечено яркой вспышкой употребления в 1750-ые гг., что также переплетается с историей. 1741 - 1761 - Царствование Елизаветы Петровны, в годы правления которой: 1)1750 - Открытие в Ярославле первого русского театра (Ф.Г. Волкова) 2)1755 - Основание Московского университета 3)1757 - Учреждении Академии художеств. Всё это несомненно способствовало росту духовной составляющей человека, появлению людей, желающих выразить свои эмоции через слово.</w:t>
      </w:r>
    </w:p>
    <w:p>
      <w:pPr>
        <w:numPr>
          <w:ilvl w:val="0"/>
          <w:numId w:val="0"/>
        </w:numPr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</w:p>
    <w:p>
      <w:pPr>
        <w:numPr>
          <w:ilvl w:val="0"/>
          <w:numId w:val="0"/>
        </w:numPr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drawing>
          <wp:inline distT="0" distB="0" distL="114300" distR="114300">
            <wp:extent cx="5078730" cy="3384550"/>
            <wp:effectExtent l="0" t="0" r="1270" b="6350"/>
            <wp:docPr id="10" name="Изображение 10" descr="photo_2022-10-14_11-27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photo_2022-10-14_11-27-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</w:p>
    <w:p>
      <w:pPr>
        <w:numPr>
          <w:ilvl w:val="0"/>
          <w:numId w:val="0"/>
        </w:numPr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>5.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>Проверьте, насколько оправдано решение об использовании преимущественно сине-голубых оттенков при экранизации романа Л.Н.Толстого «Анна Каренина» британским режиссером Джо Райтом (экранизация 2012 года с Кирой Найтли в главной роли). Связано ли выделение синего цвета, как доминирующего, в кадрах этого фильма с оригиналом текста романа. Для этого проверьте частоту использования слов «синий», «голубой» в романе Л.Н.Толстого по сравнению со словами, обозначающими другие цвета.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 xml:space="preserve"> </w:t>
      </w: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>По окончании исследования, мы видим, что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 xml:space="preserve"> синий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 xml:space="preserve"> употреблено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 xml:space="preserve"> 1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>2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 xml:space="preserve"> раз,голубой - 12 раз, красный - 5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 xml:space="preserve">8, 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 xml:space="preserve"> 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t xml:space="preserve">зеленый - 11 раз, желтый - 16 раз. Таким образом, выделение синего цвета, как доминирующего в кадрах фильма, не связано с оригиналом текста романа.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drawing>
          <wp:inline distT="0" distB="0" distL="114300" distR="114300">
            <wp:extent cx="5098415" cy="2748280"/>
            <wp:effectExtent l="0" t="0" r="6985" b="7620"/>
            <wp:docPr id="12" name="Изображение 12" descr="2022-10-19_11-39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2022-10-19_11-39-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drawing>
          <wp:inline distT="0" distB="0" distL="114300" distR="114300">
            <wp:extent cx="4900930" cy="2479675"/>
            <wp:effectExtent l="0" t="0" r="1270" b="9525"/>
            <wp:docPr id="13" name="Изображение 13" descr="2022-10-19_11-40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2022-10-19_11-40-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drawing>
          <wp:inline distT="0" distB="0" distL="114300" distR="114300">
            <wp:extent cx="4930775" cy="2668905"/>
            <wp:effectExtent l="0" t="0" r="9525" b="10795"/>
            <wp:docPr id="14" name="Изображение 14" descr="2022-10-19_11-41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2022-10-19_11-41-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drawing>
          <wp:inline distT="0" distB="0" distL="114300" distR="114300">
            <wp:extent cx="4703445" cy="2232025"/>
            <wp:effectExtent l="0" t="0" r="8255" b="3175"/>
            <wp:docPr id="16" name="Изображение 16" descr="2022-10-19_11-42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2022-10-19_11-42-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drawing>
          <wp:inline distT="0" distB="0" distL="114300" distR="114300">
            <wp:extent cx="4922520" cy="2312670"/>
            <wp:effectExtent l="0" t="0" r="5080" b="11430"/>
            <wp:docPr id="17" name="Изображение 17" descr="2022-10-19_11-43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2022-10-19_11-43-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>6.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 xml:space="preserve">Проверьте, насколько оправдано представление о Ф.М.Достоевского, как писателе, пишущем о бестелесном, духовном, психологическом, мало говорящем о бытовом и земном. Для этого выделите подкорпус с его произведениями и проведите частотный анализ семантических признаков, выбрав полярные значения «еда и напитки» (предметные признаки) и «психическая сфера» (непредметные признаки). Аналогичное исследование проведите для других известных писателей (хотя бы с одним), сравните полученные результаты. </w:t>
      </w: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drawing>
          <wp:inline distT="0" distB="0" distL="114300" distR="114300">
            <wp:extent cx="5783580" cy="2825750"/>
            <wp:effectExtent l="0" t="0" r="7620" b="6350"/>
            <wp:docPr id="18" name="Изображение 18" descr="2022-10-19_11-56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2022-10-19_11-56-0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drawing>
          <wp:inline distT="0" distB="0" distL="114300" distR="114300">
            <wp:extent cx="6203950" cy="3352165"/>
            <wp:effectExtent l="0" t="0" r="6350" b="635"/>
            <wp:docPr id="20" name="Изображение 20" descr="2022-10-19_12-02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2022-10-19_12-02-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 xml:space="preserve">        Количество примеров в категории «еда и напитки»: 6665</w:t>
      </w: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>Количество примеров в категории «ментальная сфера» и «психическая сфера»: 45127</w:t>
      </w:r>
    </w:p>
    <w:p>
      <w:pPr>
        <w:numPr>
          <w:ilvl w:val="-2"/>
          <w:numId w:val="1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 xml:space="preserve">Предположение о том, что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>Ф.М.Достоевск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 xml:space="preserve">ий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>писател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>ь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 xml:space="preserve">,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 xml:space="preserve">пишущий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</w:rPr>
        <w:t>о бестелесном, духовном, психологическом, мало говорящем о бытовом и земном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 xml:space="preserve">, подтверждается. </w:t>
      </w:r>
    </w:p>
    <w:p>
      <w:pPr>
        <w:numPr>
          <w:ilvl w:val="0"/>
          <w:numId w:val="0"/>
        </w:numPr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</w:p>
    <w:p>
      <w:pPr>
        <w:numPr>
          <w:ilvl w:val="0"/>
          <w:numId w:val="0"/>
        </w:numPr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</w:p>
    <w:p>
      <w:pPr>
        <w:numPr>
          <w:ilvl w:val="0"/>
          <w:numId w:val="0"/>
        </w:numPr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>Исследование для М.Ю.Лермонтова:</w:t>
      </w:r>
    </w:p>
    <w:p>
      <w:pPr>
        <w:numPr>
          <w:ilvl w:val="0"/>
          <w:numId w:val="0"/>
        </w:numPr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</w:p>
    <w:p>
      <w:pPr>
        <w:numPr>
          <w:ilvl w:val="0"/>
          <w:numId w:val="0"/>
        </w:numPr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drawing>
          <wp:inline distT="0" distB="0" distL="114300" distR="114300">
            <wp:extent cx="4488815" cy="2152015"/>
            <wp:effectExtent l="0" t="0" r="6985" b="6985"/>
            <wp:docPr id="25" name="Изображение 25" descr="2022-10-19_12-14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2022-10-19_12-14-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drawing>
          <wp:inline distT="0" distB="0" distL="114300" distR="114300">
            <wp:extent cx="4371975" cy="2205355"/>
            <wp:effectExtent l="0" t="0" r="9525" b="4445"/>
            <wp:docPr id="24" name="Изображение 24" descr="2022-10-19_12-15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2022-10-19_12-15-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2"/>
          <w:numId w:val="0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>Количество примеров в категории «еда и напитки»: 515</w:t>
      </w:r>
    </w:p>
    <w:p>
      <w:pPr>
        <w:numPr>
          <w:ilvl w:val="-2"/>
          <w:numId w:val="0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>Количество примеров в категории «ментальная сфера» и «психическая сфера»: 3982</w:t>
      </w:r>
    </w:p>
    <w:p>
      <w:pPr>
        <w:numPr>
          <w:ilvl w:val="-2"/>
          <w:numId w:val="0"/>
        </w:numPr>
        <w:spacing w:line="240" w:lineRule="auto"/>
        <w:ind w:left="0" w:leftChars="0" w:firstLine="480" w:firstLineChars="2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  <w:t>Несмотря на то, что у М.Ю.Лермонтова категории, связанные с психологическим состоянием человека превалируют над бытовыми вещами, у Ф.М.Достоевского намного больше слов, выражающих духовную составляющую личности.</w:t>
      </w:r>
    </w:p>
    <w:p>
      <w:pPr>
        <w:numPr>
          <w:ilvl w:val="-2"/>
          <w:numId w:val="0"/>
        </w:numPr>
        <w:spacing w:line="240" w:lineRule="auto"/>
        <w:ind w:left="0" w:leftChars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rtl w:val="0"/>
          <w:lang w:val="ru-RU"/>
        </w:rPr>
      </w:pPr>
    </w:p>
    <w:sectPr>
      <w:pgSz w:w="11909" w:h="16834"/>
      <w:pgMar w:top="1134" w:right="1134" w:bottom="1134" w:left="1134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</w:compat>
  <w:rsids>
    <w:rsidRoot w:val="00000000"/>
    <w:rsid w:val="23254645"/>
    <w:rsid w:val="25360864"/>
    <w:rsid w:val="337302FB"/>
    <w:rsid w:val="4ABA276F"/>
    <w:rsid w:val="506B29F4"/>
    <w:rsid w:val="5B6E467A"/>
    <w:rsid w:val="64145BC9"/>
    <w:rsid w:val="6A213DBD"/>
    <w:rsid w:val="72E426B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ru"/>
    </w:rPr>
  </w:style>
  <w:style w:type="paragraph" w:styleId="2">
    <w:name w:val="heading 1"/>
    <w:basedOn w:val="1"/>
    <w:next w:val="1"/>
    <w:uiPriority w:val="0"/>
    <w:pPr>
      <w:keepNext/>
      <w:keepLines/>
      <w:pageBreakBefore w:val="0"/>
      <w:spacing w:before="400" w:after="120"/>
    </w:pPr>
    <w:rPr>
      <w:sz w:val="40"/>
      <w:szCs w:val="40"/>
    </w:rPr>
  </w:style>
  <w:style w:type="paragraph" w:styleId="3">
    <w:name w:val="heading 2"/>
    <w:basedOn w:val="1"/>
    <w:next w:val="1"/>
    <w:qFormat/>
    <w:uiPriority w:val="0"/>
    <w:pPr>
      <w:keepNext/>
      <w:keepLines/>
      <w:pageBreakBefore w:val="0"/>
      <w:spacing w:before="360" w:after="120"/>
    </w:pPr>
    <w:rPr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pageBreakBefore w:val="0"/>
      <w:spacing w:before="320" w:after="80"/>
    </w:pPr>
    <w:rPr>
      <w:color w:val="434343"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80" w:after="80"/>
    </w:pPr>
    <w:rPr>
      <w:color w:val="666666"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spacing w:before="240" w:after="80"/>
    </w:pPr>
    <w:rPr>
      <w:color w:val="666666"/>
      <w:sz w:val="22"/>
      <w:szCs w:val="22"/>
    </w:rPr>
  </w:style>
  <w:style w:type="paragraph" w:styleId="7">
    <w:name w:val="heading 6"/>
    <w:basedOn w:val="1"/>
    <w:next w:val="1"/>
    <w:uiPriority w:val="0"/>
    <w:pPr>
      <w:keepNext/>
      <w:keepLines/>
      <w:pageBreakBefore w:val="0"/>
      <w:spacing w:before="240" w:after="80"/>
    </w:pPr>
    <w:rPr>
      <w:i/>
      <w:color w:val="666666"/>
      <w:sz w:val="22"/>
      <w:szCs w:val="22"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8"/>
    <w:qFormat/>
    <w:uiPriority w:val="0"/>
    <w:rPr>
      <w:i/>
      <w:iCs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character" w:styleId="12">
    <w:name w:val="Strong"/>
    <w:basedOn w:val="8"/>
    <w:qFormat/>
    <w:uiPriority w:val="0"/>
    <w:rPr>
      <w:b/>
      <w:bCs/>
    </w:rPr>
  </w:style>
  <w:style w:type="paragraph" w:styleId="13">
    <w:name w:val="Title"/>
    <w:basedOn w:val="1"/>
    <w:next w:val="1"/>
    <w:qFormat/>
    <w:uiPriority w:val="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14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styleId="15">
    <w:name w:val="Subtitle"/>
    <w:basedOn w:val="1"/>
    <w:next w:val="1"/>
    <w:qFormat/>
    <w:uiPriority w:val="0"/>
    <w:pPr>
      <w:keepNext/>
      <w:keepLines/>
      <w:pageBreakBefore w:val="0"/>
      <w:spacing w:before="0" w:after="320"/>
    </w:pPr>
    <w:rPr>
      <w:rFonts w:ascii="Arial" w:hAnsi="Arial" w:eastAsia="Arial" w:cs="Arial"/>
      <w:color w:val="666666"/>
      <w:sz w:val="30"/>
      <w:szCs w:val="30"/>
    </w:rPr>
  </w:style>
  <w:style w:type="table" w:customStyle="1" w:styleId="16">
    <w:name w:val="Table Normal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3</TotalTime>
  <ScaleCrop>false</ScaleCrop>
  <LinksUpToDate>false</LinksUpToDate>
  <Application>WPS Office_11.2.0.11440_F1E327BC-269C-435d-A152-05C5408002CA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2022-10-12T06:27:00Z</dcterms:created>
  <dc:creator>PC</dc:creator>
  <cp:lastModifiedBy>Лена Кругликова</cp:lastModifiedBy>
  <dcterms:modified xsi:type="dcterms:W3CDTF">2022-12-27T18:30:57Z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0B9DAD645954443797241428DA718279</vt:lpwstr>
  </property>
</Properties>
</file>