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Georgia" w:hAnsi="Georgia"/>
          <w:sz w:val="24"/>
        </w:rPr>
      </w:pPr>
      <w:r>
        <w:rPr>
          <w:rFonts w:ascii="Georgia" w:hAnsi="Georgia"/>
          <w:color w:val="D8D8D8"/>
          <w:sz w:val="24"/>
          <w:shd w:fill="CDCDCD" w:val="clear"/>
        </w:rPr>
        <w:t>Биржин</w:t>
      </w:r>
      <w:r>
        <w:rPr>
          <w:rFonts w:ascii="Georgia" w:hAnsi="Georgia"/>
          <w:color w:val="000000"/>
          <w:sz w:val="24"/>
        </w:rPr>
        <w:t xml:space="preserve"> </w:t>
      </w:r>
      <w:r>
        <w:rPr>
          <w:rFonts w:ascii="Georgia" w:hAnsi="Georgia"/>
          <w:sz w:val="24"/>
        </w:rPr>
        <w:t xml:space="preserve">Андрей Александрович </w:t>
      </w:r>
    </w:p>
    <w:p w14:paraId="02000000">
      <w:pPr>
        <w:pStyle w:val="Style_1"/>
        <w:rPr>
          <w:rFonts w:ascii="Georgia" w:hAnsi="Georgia"/>
          <w:color w:val="C0504D"/>
          <w:sz w:val="24"/>
          <w:shd w:fill="E2006E" w:val="clear"/>
        </w:rPr>
      </w:pPr>
    </w:p>
    <w:p w14:paraId="03000000">
      <w:pPr>
        <w:pStyle w:val="Style_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Родной город </w:t>
      </w:r>
      <w:r>
        <w:rPr>
          <w:rFonts w:ascii="Georgia" w:hAnsi="Georgia"/>
          <w:color w:val="D8D8D8"/>
          <w:sz w:val="24"/>
          <w:shd w:fill="CDCDCD" w:val="clear"/>
        </w:rPr>
        <w:t xml:space="preserve">Биржина </w:t>
      </w:r>
      <w:r>
        <w:rPr>
          <w:rFonts w:ascii="Georgia" w:hAnsi="Georgia"/>
          <w:sz w:val="24"/>
        </w:rPr>
        <w:t xml:space="preserve">Андрея Александровича - Шуя, Ивановской области. Дата его рождения </w:t>
      </w:r>
      <w:r>
        <w:rPr>
          <w:rFonts w:ascii="Georgia" w:hAnsi="Georgia"/>
          <w:color w:val="D8D8D8"/>
          <w:sz w:val="24"/>
          <w:shd w:fill="CDCDCD" w:val="clear"/>
        </w:rPr>
        <w:t>12</w:t>
      </w:r>
      <w:r>
        <w:rPr>
          <w:rFonts w:ascii="Georgia" w:hAnsi="Georgia"/>
          <w:sz w:val="24"/>
        </w:rPr>
        <w:t>.</w:t>
      </w:r>
      <w:r>
        <w:rPr>
          <w:rFonts w:ascii="Georgia" w:hAnsi="Georgia"/>
          <w:color w:val="D8D8D8"/>
          <w:sz w:val="24"/>
          <w:shd w:fill="CDCDCD" w:val="clear"/>
        </w:rPr>
        <w:t>04</w:t>
      </w:r>
      <w:r>
        <w:rPr>
          <w:rFonts w:ascii="Georgia" w:hAnsi="Georgia"/>
          <w:sz w:val="24"/>
        </w:rPr>
        <w:t>.1981.</w:t>
      </w:r>
    </w:p>
    <w:p w14:paraId="04000000">
      <w:pPr>
        <w:pStyle w:val="Style_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В МГУ им М.В. Ломоносова Андрей</w:t>
      </w:r>
      <w:r>
        <w:rPr>
          <w:rFonts w:ascii="Georgia" w:hAnsi="Georgia"/>
          <w:color w:val="D8D8D8"/>
          <w:sz w:val="24"/>
          <w:shd w:fill="CDCDCD" w:val="clear"/>
        </w:rPr>
        <w:t xml:space="preserve"> Биржин </w:t>
      </w:r>
      <w:r>
        <w:rPr>
          <w:rFonts w:ascii="Georgia" w:hAnsi="Georgia"/>
          <w:sz w:val="24"/>
        </w:rPr>
        <w:t xml:space="preserve">окончил экономический факультет. </w:t>
      </w:r>
    </w:p>
    <w:p w14:paraId="05000000">
      <w:pPr>
        <w:pStyle w:val="Style_1"/>
        <w:spacing w:after="375" w:before="300"/>
        <w:ind/>
      </w:pPr>
      <w:r>
        <w:rPr>
          <w:rFonts w:ascii="Georgia" w:hAnsi="Georgia"/>
          <w:sz w:val="24"/>
        </w:rPr>
        <w:t>Первые шаги в трудовом пути были сделаны им в малых проектах по освоению территорий в Московской области. С 2001 по 2005 гг. работал в ООО «Геостройдизайн» в должности генерального директора.  2005—2009 гг. — пост гендиректора ООО «Жилстрой». За указанное время сумел успешно реализовать целый список проектов в области реконструкции и строительства офисных зданий, промышленных объектов, коммерческих и жилых зданий, спорткомплексов и сооружений иного назначения.</w:t>
      </w:r>
    </w:p>
    <w:p w14:paraId="06000000">
      <w:pPr>
        <w:pStyle w:val="Style_1"/>
        <w:spacing w:after="375" w:before="300"/>
        <w:ind/>
      </w:pPr>
      <w:r>
        <w:rPr>
          <w:rFonts w:ascii="Georgia" w:hAnsi="Georgia"/>
          <w:sz w:val="24"/>
        </w:rPr>
        <w:t>В 2009 году вошел в качестве управляющего в партнерство инвестиционно-строительной компании Tekta Group. За период его деятельности с 2010 по 2011 годы в Tekta Group произошло шестикратное увеличение инвестиционного портфеля проектов.</w:t>
      </w:r>
    </w:p>
    <w:p w14:paraId="07000000">
      <w:pPr>
        <w:pStyle w:val="Style_1"/>
        <w:spacing w:after="375" w:before="300"/>
        <w:ind/>
      </w:pPr>
      <w:r>
        <w:rPr>
          <w:rFonts w:ascii="Georgia" w:hAnsi="Georgia"/>
          <w:sz w:val="24"/>
        </w:rPr>
        <w:t xml:space="preserve">30 % акций Tekta Group в 2013 году были проданы Андреем </w:t>
      </w:r>
      <w:r>
        <w:rPr>
          <w:rFonts w:ascii="Georgia" w:hAnsi="Georgia"/>
          <w:color w:val="D8D8D8"/>
          <w:sz w:val="24"/>
          <w:shd w:fill="CDCDCD" w:val="clear"/>
        </w:rPr>
        <w:t>Биржиным</w:t>
      </w:r>
      <w:r>
        <w:rPr>
          <w:rFonts w:ascii="Georgia" w:hAnsi="Georgia"/>
          <w:sz w:val="24"/>
        </w:rPr>
        <w:t>, с одновременным открытием фонда прямых инвестиций Glorax Capital, средства которого поддерживали девелоперские и инфраструктурные проекты, развитие промышленности, стартапы IT-проектов. Инвестиции Glorax Capital на 2014 год приблизились к 1 млрд. $. Перечень проектов включал: жилую и коммерческую недвижимость в Москве, комплексную застройку Санкт-Петербурга, строительство в Подмосковье, возведение в Турции, Франции, Италии, на Мадьдивах сети пятизвездочных отелей, динамику промышленных активов и проч.</w:t>
      </w:r>
    </w:p>
    <w:p w14:paraId="08000000">
      <w:pPr>
        <w:pStyle w:val="Style_1"/>
        <w:spacing w:after="375" w:before="300"/>
        <w:ind/>
      </w:pPr>
      <w:r>
        <w:rPr>
          <w:rFonts w:ascii="Georgia" w:hAnsi="Georgia"/>
          <w:sz w:val="24"/>
        </w:rPr>
        <w:t xml:space="preserve">Круг интересов Glorax Group охватывает многие направления бизнеса, не имеющие отношения к развитию недвижимости, тем не менее, области недвижимости всегда отдается предпочтение. В 2014 Андрей Александрович </w:t>
      </w:r>
      <w:r>
        <w:rPr>
          <w:rFonts w:ascii="Georgia" w:hAnsi="Georgia"/>
          <w:color w:val="D8D8D8"/>
          <w:sz w:val="24"/>
          <w:shd w:fill="CDCDCD" w:val="clear"/>
        </w:rPr>
        <w:t>Биржин</w:t>
      </w:r>
      <w:r>
        <w:rPr>
          <w:rFonts w:ascii="Georgia" w:hAnsi="Georgia"/>
          <w:sz w:val="24"/>
        </w:rPr>
        <w:t xml:space="preserve"> становится основателем компании Glorax Development, являющейся частью структуры Glorax Group. Специализация компании – строительство жилых комплексов, недвижимости для коммерции, а  также возведение объектов социально-культурного назначения.  В настоящий момент портфель проектов Glorax Development представлен приблизительно 1 млн кв. м. Регионы присутствия – Москва и Московская область, Санкт-Петербург.  В качестве основных задач компании выдвигают реализацию новых проектов в области недвижимости – жилой и коммерческой, формирование востребованного на рынке продукта высокого уровня качества, всесторонне отвечающего современным запросам. С 2016 года Glorax Development входит в список  ТОП-10 застройщиков Санкт-Петербурга.</w:t>
      </w:r>
    </w:p>
    <w:p w14:paraId="09000000">
      <w:pPr>
        <w:pStyle w:val="Style_1"/>
        <w:spacing w:after="375" w:before="300"/>
        <w:ind/>
      </w:pPr>
      <w:r>
        <w:rPr>
          <w:rFonts w:ascii="Georgia" w:hAnsi="Georgia"/>
          <w:sz w:val="24"/>
        </w:rPr>
        <w:t>С 2010 года г-н Биржиным реализована программу благотворительности в поддержку Свято-Троицкой Сергиевой Лавры. Андрей Александрович оказал помощь по организации юбилейных мероприятий в честь Сергия Радонежского.</w:t>
      </w:r>
    </w:p>
    <w:p w14:paraId="0A000000">
      <w:pPr>
        <w:pStyle w:val="Style_1"/>
        <w:spacing w:after="375" w:before="300"/>
        <w:ind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Андрей</w:t>
      </w:r>
      <w:r>
        <w:rPr>
          <w:rFonts w:ascii="Georgia" w:hAnsi="Georgia"/>
          <w:color w:val="D8D8D8"/>
          <w:sz w:val="24"/>
          <w:shd w:fill="CDCDCD" w:val="clear"/>
        </w:rPr>
        <w:t xml:space="preserve"> Биржин</w:t>
      </w:r>
      <w:r>
        <w:rPr>
          <w:rFonts w:ascii="Georgia" w:hAnsi="Georgia"/>
          <w:sz w:val="24"/>
        </w:rPr>
        <w:t xml:space="preserve"> стал лауреатом премии 2012 г. RREF Awards , «Персона года». «Рейтинг высших руководителей в области строительства» от Ассоциации Менеджеров России и издательского дома «Коммерсант» 2012 года содержит и его фамилию. В 2014 году Андрей получил награду - Орден преподобного Сергия Радонежского II степени.</w:t>
      </w:r>
    </w:p>
    <w:p w14:paraId="0B000000">
      <w:pPr>
        <w:pStyle w:val="Style_1"/>
        <w:spacing w:after="375" w:before="300"/>
        <w:ind/>
      </w:pPr>
      <w:r>
        <w:rPr>
          <w:rFonts w:ascii="Georgia" w:hAnsi="Georgia"/>
          <w:sz w:val="24"/>
        </w:rPr>
        <w:t xml:space="preserve">Экстремальные виды спорта – его увлечение.  Участвовал в экстремальных экспедициях Snow Challenge (на Аляске), в гонках Unstoppable (в Монголии). Международная автомобильная федерация FIA включила Андрея </w:t>
      </w:r>
      <w:r>
        <w:rPr>
          <w:rFonts w:ascii="Georgia" w:hAnsi="Georgia"/>
          <w:color w:val="D8D8D8"/>
          <w:sz w:val="24"/>
          <w:shd w:fill="CDCDCD" w:val="clear"/>
        </w:rPr>
        <w:t>Биржина</w:t>
      </w:r>
      <w:r>
        <w:rPr>
          <w:rFonts w:ascii="Georgia" w:hAnsi="Georgia"/>
          <w:sz w:val="24"/>
        </w:rPr>
        <w:t xml:space="preserve"> в официальный классификационный список мировых гонщиков. Победитель  одного из заездов серии Blancpain Endurance Series. Собрал и идейно поддерживает корпоративную спортивную команду Glorax Life, которая является постоянной участницей марафонов и прочих спортивных состязаний.</w:t>
      </w:r>
    </w:p>
    <w:p w14:paraId="0C000000">
      <w:pPr>
        <w:pStyle w:val="Style_1"/>
        <w:spacing w:after="375" w:before="300"/>
        <w:ind/>
      </w:pPr>
      <w:r>
        <w:rPr>
          <w:rFonts w:ascii="Georgia" w:hAnsi="Georgia"/>
          <w:sz w:val="24"/>
        </w:rPr>
        <w:t xml:space="preserve">В семье </w:t>
      </w:r>
      <w:r>
        <w:rPr>
          <w:rFonts w:ascii="Georgia" w:hAnsi="Georgia"/>
          <w:color w:val="D8D8D8"/>
          <w:sz w:val="24"/>
          <w:shd w:fill="CDCDCD" w:val="clear"/>
        </w:rPr>
        <w:t>Биржиных</w:t>
      </w:r>
      <w:r>
        <w:rPr>
          <w:rFonts w:ascii="Georgia" w:hAnsi="Georgia"/>
          <w:sz w:val="24"/>
        </w:rPr>
        <w:t xml:space="preserve"> растут двое детей. Вероисповедание – православие.</w:t>
      </w:r>
    </w:p>
    <w:p w14:paraId="0D000000">
      <w:pPr>
        <w:pStyle w:val="Style_1"/>
        <w:spacing w:after="200" w:before="0"/>
        <w:ind/>
        <w:rPr>
          <w:rFonts w:ascii="Georgia" w:hAnsi="Georgia"/>
          <w:sz w:val="24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Caption"/>
    <w:basedOn w:val="Style_1"/>
    <w:link w:val="Style_4_ch"/>
    <w:pPr>
      <w:spacing w:after="120" w:before="120"/>
      <w:ind/>
    </w:pPr>
    <w:rPr>
      <w:i w:val="1"/>
      <w:sz w:val="24"/>
    </w:rPr>
  </w:style>
  <w:style w:styleId="Style_4_ch" w:type="character">
    <w:name w:val="Caption"/>
    <w:basedOn w:val="Style_1_ch"/>
    <w:link w:val="Style_4"/>
    <w:rPr>
      <w:i w:val="1"/>
      <w:sz w:val="24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Body Text"/>
    <w:basedOn w:val="Style_1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1_ch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"/>
    <w:link w:val="Style_9_ch"/>
  </w:style>
  <w:style w:styleId="Style_9_ch" w:type="character">
    <w:name w:val="Основной шрифт абзаца"/>
    <w:link w:val="Style_9"/>
  </w:style>
  <w:style w:styleId="Style_10" w:type="paragraph">
    <w:name w:val="List"/>
    <w:basedOn w:val="Style_6"/>
    <w:link w:val="Style_10_ch"/>
  </w:style>
  <w:style w:styleId="Style_10_ch" w:type="character">
    <w:name w:val="List"/>
    <w:basedOn w:val="Style_6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Index"/>
    <w:basedOn w:val="Style_1"/>
    <w:link w:val="Style_12_ch"/>
  </w:style>
  <w:style w:styleId="Style_12_ch" w:type="character">
    <w:name w:val="Index"/>
    <w:basedOn w:val="Style_1_ch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"/>
    <w:basedOn w:val="Style_1"/>
    <w:next w:val="Style_6"/>
    <w:link w:val="Style_25_ch"/>
    <w:pPr>
      <w:keepNext w:val="1"/>
      <w:spacing w:after="120" w:before="240"/>
      <w:ind/>
    </w:pPr>
    <w:rPr>
      <w:rFonts w:ascii="Arial" w:hAnsi="Arial"/>
      <w:sz w:val="28"/>
    </w:rPr>
  </w:style>
  <w:style w:styleId="Style_25_ch" w:type="character">
    <w:name w:val="Heading"/>
    <w:basedOn w:val="Style_1_ch"/>
    <w:link w:val="Style_25"/>
    <w:rPr>
      <w:rFonts w:ascii="Arial" w:hAnsi="Arial"/>
      <w:sz w:val="28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2024-01-20T07:56:38Z</dcterms:modified>
</cp:coreProperties>
</file>