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Конференция государств-участников конвенции Организации Объединенных Наций против коррупции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Распр.: </w:t>
      </w:r>
      <w:r>
        <w:rPr>
          <w:rFonts w:ascii="Times New Roman" w:hAnsi="Times New Roman"/>
          <w:sz w:val="28"/>
        </w:rPr>
        <w:t>Общее</w:t>
      </w: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Оригинал: </w:t>
      </w:r>
      <w:r>
        <w:rPr>
          <w:rFonts w:ascii="Times New Roman" w:hAnsi="Times New Roman"/>
          <w:sz w:val="28"/>
        </w:rPr>
        <w:t>Английский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Рабочая группа по возвращению активов</w:t>
      </w: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Вена, 3-4 сентября 2015 года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Предварительная повестка дня с комментариями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Предварительная повестка дня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tab/>
      </w:r>
      <w:r>
        <w:rPr>
          <w:rFonts w:ascii="Times New Roman" w:hAnsi="Times New Roman"/>
          <w:sz w:val="28"/>
        </w:rPr>
        <w:t>Организационные вопросы: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t>(а)</w:t>
      </w:r>
      <w:r>
        <w:tab/>
      </w:r>
      <w:r>
        <w:t>Начало заседания;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t>(b)</w:t>
      </w:r>
      <w:r>
        <w:tab/>
      </w:r>
      <w:r>
        <w:t>Одобрение повестки дня и организации работы.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>
        <w:tab/>
      </w:r>
      <w:r>
        <w:rPr>
          <w:rFonts w:ascii="Times New Roman" w:hAnsi="Times New Roman"/>
          <w:sz w:val="28"/>
        </w:rPr>
        <w:t>Рассмотрение статуса имплементации мандатов по возвращению активов.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3.</w:t>
      </w:r>
      <w:r>
        <w:tab/>
      </w:r>
      <w:r>
        <w:rPr>
          <w:rFonts w:ascii="Times New Roman" w:hAnsi="Times New Roman"/>
          <w:sz w:val="28"/>
        </w:rPr>
        <w:t>Форум по совершенствованию практических мероприятий по возвращению активов, включая рассмотрение проблем и наилучших практик.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>
        <w:tab/>
      </w:r>
      <w:r>
        <w:rPr>
          <w:rFonts w:ascii="Times New Roman" w:hAnsi="Times New Roman"/>
          <w:sz w:val="28"/>
        </w:rPr>
        <w:t>Форум по изучению новой информации, касающейся тематических дискуссий, проведенных на предыдущей сессии.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5.</w:t>
      </w:r>
      <w:r>
        <w:tab/>
      </w:r>
      <w:r>
        <w:rPr>
          <w:rFonts w:ascii="Times New Roman" w:hAnsi="Times New Roman"/>
          <w:sz w:val="28"/>
        </w:rPr>
        <w:t>Тематическая дискуссия по Статье 57 (Возвращение и распоряжение активами), а также другим соответствующим статьям Конвенции.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6.</w:t>
      </w:r>
      <w:r>
        <w:tab/>
      </w:r>
      <w:r>
        <w:rPr>
          <w:rFonts w:ascii="Times New Roman" w:hAnsi="Times New Roman"/>
          <w:sz w:val="28"/>
        </w:rPr>
        <w:t>Форум для обсуждения накопления мощностей и технической помощи.</w:t>
      </w: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7.</w:t>
      </w:r>
      <w:r>
        <w:tab/>
      </w:r>
      <w:r>
        <w:rPr>
          <w:rFonts w:ascii="Times New Roman" w:hAnsi="Times New Roman"/>
          <w:sz w:val="28"/>
        </w:rPr>
        <w:t>Одобрение отчета.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Комментарии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Организационные вопросы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(а) Начало заседания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Заседание рабочей группы по возвращению активов начнется в четверг, 3 сентября 2015 года в 10 часов утра.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(b) Одобрение повестки дня и организация работы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Предварительная повестка дня заседания была подготовлена в соответствии с резолюцией 5/3, под названием "Налаживание международного сотрудничества по возвращению активов", принятого на Конференции государств-участников конвенции Организации Объединенных Наций против коррупции на пятой сессия, проведенной в Панаме 25-29 ноября 2013 года.</w:t>
      </w: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Предлагаемая организация работы (см. приложения) была подготовлена в соответствии с резолюцией конференции, а также отчетом заседания рабочей группы, проведенного 30 и 31 августа 2012 года.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>
        <w:tab/>
      </w:r>
      <w:r>
        <w:rPr>
          <w:rFonts w:ascii="Times New Roman" w:hAnsi="Times New Roman"/>
          <w:sz w:val="28"/>
        </w:rPr>
        <w:t>Обзор статуса имплементации мандатов по возвращению активов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Мандат рабочей группы, в соответствии с положениями резолюции конференции состоит из следующих функций: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t>(а)</w:t>
      </w:r>
      <w:r>
        <w:tab/>
      </w:r>
      <w:r>
        <w:t>Оказание поддержки конференции в наращивании общего объема знаний в области возвращения активов;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t>(b)</w:t>
      </w:r>
      <w:r>
        <w:tab/>
      </w:r>
      <w:r>
        <w:t>Оказание поддержки конференции в стимулировании сотрудничества между соответствующими существующими двусторонними и многосторонними инициативами, а также внесение вклада в имплементацию соответствующих положений Конвенции;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t>(с)</w:t>
      </w:r>
      <w:r>
        <w:tab/>
      </w:r>
      <w:r>
        <w:t>Налаживание обмена информацией посредством идентификации наилучших практик и распространения их среди государств;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t>(d)</w:t>
      </w:r>
      <w:r>
        <w:tab/>
      </w:r>
      <w:r>
        <w:t>Наращивание уверенности и стимулирование сотрудничества между запрашивающими и запрашиваемыми государствами, посредством налаживания контакта между соответствующими компетентными органами, а также антикоррупционными органами и практическими специалистами в области возвращения активов и борьбы с коррупцией посредством создания для них форума;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t>(е)</w:t>
      </w:r>
      <w:r>
        <w:tab/>
      </w:r>
      <w:r>
        <w:t>Налаживание обмена идеями между государствами и ускорения возвращения активов;</w:t>
      </w: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t>(f)</w:t>
      </w:r>
      <w:r>
        <w:tab/>
      </w:r>
      <w:r>
        <w:t>Оказание помощи конференции в идентификации потребностей, связанных с наращиванием активов, включая долгосрочные потребности государств-участников по предотвращению и идентификации передачи доходов от коррупции, а также благ и преимуществ, полученных от таких доходов и в возвращении активов.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Секретариат представит устный доклад о достигнутых успехах в области имплементации мандатов по возвращению активов.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3.</w:t>
      </w:r>
      <w:r>
        <w:tab/>
      </w:r>
      <w:r>
        <w:rPr>
          <w:rFonts w:ascii="Times New Roman" w:hAnsi="Times New Roman"/>
          <w:sz w:val="28"/>
        </w:rPr>
        <w:t>Форум для по совершенствованию практических мероприятий по возвращению активов, включая рассмотрение проблем и наилучших практик.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На своих предыдущих заседаниях рабочая группа отметила важностью создания форума для обсуждения практических аспектов возвращения активов, включая проблемы и наилучшие практики. </w:t>
      </w:r>
      <w:r>
        <w:rPr>
          <w:rFonts w:ascii="Times New Roman" w:hAnsi="Times New Roman"/>
          <w:sz w:val="28"/>
        </w:rPr>
        <w:t>Также, группа выразила свою высокую оценку презентаций о новых законах в области возвращения активов, принятых государствами-участниками в соответствии с конвенцией и рекомендовала секретариату стремиться в ходе будущих заседаний поощрять такой прагматичный подход.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Государства-участники могут иметь желание направлять подготовленных представителей для обсуждения своих наилучших практик, и мы призываем их обмениваться ими с секретариатом заранее, предоставляя также соответствующую документацию для опубликования через соответствующую страницу вебсайта управления по наркотикам и преступности Организации Объединенных Наций.</w:t>
      </w: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Обсуждение практических вопросов возвращения активов начнется одновременно с панельной дискуссией.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30597" w:rsidRPr="007B7797" w:rsidRDefault="00B305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>
        <w:tab/>
      </w:r>
      <w:r>
        <w:rPr>
          <w:rFonts w:ascii="Times New Roman" w:hAnsi="Times New Roman"/>
          <w:sz w:val="28"/>
        </w:rPr>
        <w:t>Форум для обмена новой информацией, касающейся тематических обсуждений предыдущей сессии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30597" w:rsidRPr="007B7797" w:rsidRDefault="00B305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На предыдущем заседании 11 и 12 сентября 2014 года рабочая группа провела тематические обсуждения по Статье 52 (Предотвращение и идентификация передачи доходов от преступной деятельности) и Статье 53 (Меры по прямому возвращению имущества). </w:t>
      </w:r>
      <w:r>
        <w:rPr>
          <w:rFonts w:ascii="Times New Roman" w:hAnsi="Times New Roman"/>
          <w:sz w:val="28"/>
        </w:rPr>
        <w:t xml:space="preserve">Обсуждения по Статье 52 касались, среди прочего, важности строгого применения мер по надлежащей проверке клиентов, правил "знай своего клиента" и центральной роли подразделений финансовой разведки в рамках борьбы с коррупцией. </w:t>
      </w:r>
      <w:r>
        <w:rPr>
          <w:rFonts w:ascii="Times New Roman" w:hAnsi="Times New Roman"/>
          <w:sz w:val="28"/>
        </w:rPr>
        <w:t>Обсуждения по Статье 53 касались, среди прочего, гражданско-правовых разбирательств в иностранных государствах и обмена информацией между административными органами на основе Конвенции, а также проблем, связанных с данными формами сотрудничества.</w:t>
      </w: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 рамках данного пункта повестки дня, мы призываем участников представить новую информацию по широкому спектру законодательных и практических результатов, касающихся данных вопросов.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30597" w:rsidRPr="007B7797" w:rsidRDefault="00B305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5.</w:t>
      </w:r>
      <w:r>
        <w:tab/>
      </w:r>
      <w:r>
        <w:rPr>
          <w:rFonts w:ascii="Times New Roman" w:hAnsi="Times New Roman"/>
          <w:sz w:val="28"/>
        </w:rPr>
        <w:t>Тематическое обсуждение по Статье 57 (Возвращение и распоряжение активами) и другим соответствующим статьям Конвенции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30597" w:rsidRPr="007B7797" w:rsidRDefault="00B305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Темы к обсуждению могут включать следующие вопросы: практика, применяемая при вычете разумных расходов, понесенных в ходе расследований, уголовные преследования и судебные разбирательства, способы сокращения общих расходов на возвращение активов, примеры соглашений или договоренностей об окончательном распоряжении конфискованным имуществом, а также имплементация Статьи 57, пунктов (b) и (с). </w:t>
      </w:r>
      <w:r>
        <w:rPr>
          <w:rFonts w:ascii="Times New Roman" w:hAnsi="Times New Roman"/>
          <w:sz w:val="28"/>
        </w:rPr>
        <w:t>Еще одной темой хорошей темой являются наилучшие практики распоряжения и сохранения конфискованных активов.</w:t>
      </w:r>
    </w:p>
    <w:p w:rsidR="00B305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Тематическое обсуждение по Статье 57 начнется одновременно с панельной дискуссией.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30597" w:rsidRDefault="00B305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Документация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30597" w:rsidRPr="007B7797" w:rsidRDefault="00B305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Дискуссионное руководство для тематического обсуждения по Статье 57 (Возвращение и распоряжение активами) (CAC/COSP/WG.2/2015/2)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30597" w:rsidRPr="007B7797" w:rsidRDefault="00B305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6.</w:t>
      </w:r>
      <w:r>
        <w:tab/>
      </w:r>
      <w:r>
        <w:rPr>
          <w:rFonts w:ascii="Times New Roman" w:hAnsi="Times New Roman"/>
          <w:sz w:val="28"/>
        </w:rPr>
        <w:t>Форум для обсуждения накопления мощностей и технической помощи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30597" w:rsidRPr="007B7797" w:rsidRDefault="00B305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своей резолюции 4/4 конференция призвала государства-участников и подписантов Конвенции нарастить мощности своих законодательных органов, сотрудников правоохранительных органов, судей и прокуроров по работе с вопросам, касающимся возвращения активов, включая области взаимной правовой помощи, конфискации, уголовно-правовой конфискации, а также, где это уместно, имущественные наказания, не связанные с вынесением обвинительных приговоров в соответствии с внутригосударственных законодательством и Конвенцией, а также гражданским судопроизводством, а также уделить особое внимание предоставлению технической помощи в данных областях по запросу. </w:t>
      </w:r>
      <w:r>
        <w:rPr>
          <w:rFonts w:ascii="Times New Roman" w:hAnsi="Times New Roman"/>
          <w:sz w:val="28"/>
        </w:rPr>
        <w:t>Также, она призывает продолжать разрабатывать инициативы по предоставлению помощи по делам о возвращении активов по запросу государств-участников.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своей резолюции 5/3 Конференция призвала участвующие государства обеспечить, чтобы их органы, занимающиеся борьбой с коррупцией, а также иные соответствующие органы получили достаточное обучение в том числе на регулярной основе, а также имели необходимые полномочия, законодательные и иные, по идентификации, поиску, замораживания и конфискации доходов, полученных от коррупции, включая в области доступа к 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финансовой и другой информации, необходимой для этого. </w:t>
      </w:r>
      <w:r>
        <w:rPr>
          <w:rFonts w:ascii="Times New Roman" w:hAnsi="Times New Roman"/>
          <w:sz w:val="28"/>
        </w:rPr>
        <w:t>Конференция также призвала запрашиваемые государства, а также партнеров по помощи работать с запрашивающими государствами для идентификации потребностей, связанных с наращиванием мощностей в области возвращения активов запрашивающих государств, и, по возможности, определить приоритетные потребности, подчеркивая определенные, практические инициативы.</w:t>
      </w: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Обсуждение по наращиванию мощностей и технической помощью начнется одновременно с панельной дискуссией.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30597" w:rsidRDefault="00B305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597" w:rsidRPr="00B30597" w:rsidRDefault="00B30597" w:rsidP="007B7797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</w:rPr>
        <w:t>Тут сноска 1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30597" w:rsidRPr="007B7797" w:rsidRDefault="00B305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7.</w:t>
      </w:r>
      <w:r>
        <w:tab/>
      </w:r>
      <w:r>
        <w:rPr>
          <w:rFonts w:ascii="Times New Roman" w:hAnsi="Times New Roman"/>
          <w:sz w:val="28"/>
        </w:rPr>
        <w:t>Одобрение отчета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Рабочая группа должна одобрить отчет по своему заседанию, проект которого будет подготовлен Секретариатом.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Pr="00B30597" w:rsidRDefault="00B30597" w:rsidP="007B7797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/>
          <w:sz w:val="28"/>
        </w:rPr>
        <w:t>Тут таблица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Предлагаемая организация работы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t>Дата и время</w:t>
      </w:r>
      <w:r>
        <w:tab/>
      </w:r>
      <w:r>
        <w:t>Пункт повестки дня</w:t>
      </w:r>
      <w:r>
        <w:tab/>
      </w:r>
      <w:r>
        <w:t>Название или описание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t>Четверг, 3 сентября 10:00-13:00</w:t>
      </w:r>
      <w:r>
        <w:tab/>
      </w:r>
      <w:r>
        <w:t>1(а)</w:t>
      </w:r>
      <w:r>
        <w:tab/>
      </w:r>
      <w:r>
        <w:t>Начало заседания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>1 (b)</w:t>
      </w:r>
      <w:r>
        <w:tab/>
      </w:r>
      <w:r>
        <w:t>Одобрение повестки дня и организации работы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>2</w:t>
      </w:r>
      <w:r>
        <w:tab/>
      </w:r>
      <w:r>
        <w:t>Обзор прогресса, достигнутого в области имплементации мандатов по возвращению активов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>3</w:t>
      </w:r>
      <w:r>
        <w:tab/>
      </w:r>
      <w:r>
        <w:t>Форум по совершенствованию практических мероприятий по возвращению активов, включая рассмотрение проблем и наилучших практик.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t>15:00-18:00</w:t>
      </w:r>
      <w:r>
        <w:tab/>
      </w:r>
      <w:r>
        <w:t>4</w:t>
      </w:r>
      <w:r>
        <w:tab/>
      </w:r>
      <w:r>
        <w:t>Форум по изучению новой информации, касающейся тематических дискуссий, проведенных на предыдущей сессии.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>5</w:t>
      </w:r>
      <w:r>
        <w:tab/>
      </w:r>
      <w:r>
        <w:t>Тематическая дискуссия по Статье 57 (Возвращение и распоряжение активами), а также другим соответствующим статьям Конвенции.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t>Пятница, 4 сентября 10:00-13:00</w:t>
      </w:r>
      <w:r>
        <w:tab/>
      </w:r>
      <w:r>
        <w:t>5</w:t>
      </w:r>
      <w:r>
        <w:tab/>
      </w:r>
      <w:r>
        <w:t>Тематическая дискуссия по Статье 57 (Возвращение и распоряжение активами), а также другим соответствующим статьям Конвенции (продолжение).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t>15:00-18:00</w:t>
      </w:r>
      <w:r>
        <w:tab/>
      </w:r>
      <w:r>
        <w:t>6</w:t>
      </w:r>
      <w:r>
        <w:tab/>
      </w:r>
      <w:r>
        <w:t>Форум для обсуждения накопления мощностей и технической помощи.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>7</w:t>
      </w:r>
      <w:r>
        <w:tab/>
      </w:r>
      <w:r>
        <w:t>Одобрение отчета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УНП ООН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Управление Организации Объединенных Наций по наркотикам и преступности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Ссылка: </w:t>
      </w:r>
      <w:r>
        <w:rPr>
          <w:rFonts w:ascii="Times New Roman" w:hAnsi="Times New Roman"/>
          <w:sz w:val="28"/>
        </w:rPr>
        <w:t>CU 2015/124(A)/DTA/CEB/CSS возвращение активов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30597" w:rsidRPr="007B7797" w:rsidRDefault="00B305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Секретариат Конференции государств-участников Конвенции Организации Объединенных Наций по борьбе с коррупцией выражает свою благодарность Постоянному представителю Российской Федерации в Организации Объединенных Наций (Вена), и имеет честь пригласить Правительство к участию в девятом заседанию Межправительственной рабочей группы открытого состава по возвращению активов, которое будет проведено в Вене, Австрия, 3 и 4 сентября 2015 года (Конференцзал D, Здание-С).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Рабочая группа была создана Конференцией государств-участников Конвенции Организации Объединенных Наций по борьбе с коррупцией резолюцией 1/4, под названием "Создание межправительственной рабочей группы по возвращению активов". </w:t>
      </w:r>
      <w:r>
        <w:rPr>
          <w:rFonts w:ascii="Times New Roman" w:hAnsi="Times New Roman"/>
          <w:sz w:val="28"/>
        </w:rPr>
        <w:t xml:space="preserve">В своих резолюциях 2/3, 3/3, 4/4 и 5/3 Конференция приняла решение, что Межправительственная рабочая группа открытого состава по возвращению активов должна продолжить свою работу по консультированию и оказанию помощи Конференции в имплементации её мандата по возвращению доходов, полученных от коррупции. </w:t>
      </w:r>
      <w:r>
        <w:rPr>
          <w:rFonts w:ascii="Times New Roman" w:hAnsi="Times New Roman"/>
          <w:sz w:val="28"/>
        </w:rPr>
        <w:t xml:space="preserve">Конференция также приняла решение, что Рабочая группа должна рассмотреть существующие и разрабатываемые исследования для разработки наилучших практик по возвращению активов, включая, но не ограничиваясь, исследованиями Инициативы по возвращению украденных активов. </w:t>
      </w:r>
      <w:r>
        <w:rPr>
          <w:rFonts w:ascii="Times New Roman" w:hAnsi="Times New Roman"/>
          <w:sz w:val="28"/>
        </w:rPr>
        <w:t>Конференция также подтвердила свою приверженность эффективным национальным инициативам по международному сотрудничеству для полноценного применения главы V Конвенции, а также эффективного содействия возвращения доходов от коррупции.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Документация, включая предварительную повестку дня с комментариями, а также предлагаемую организацию работы, которая была доступна в электронном виде на всех официальных языках Организации Объединенных Наций на интернет-страницы Управления Организации Объединенных Наций по наркотикам и преступности, и может быть получено по следующей ссылке: www.unodc.org/unodc/en/treaties/CAC/worldng-group2.html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 приложении вы можете найти информационный бюллетень для участников в отношении административных деталей и инструкций для обеспечения организационных вопросов, связанных с транспортом, визами, отелями и пр.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Мы были бы очень признательны, если ответы правительств на данное приглашение направлялись бы напрямую в Секретариат Конференции государств-участников, </w:t>
      </w:r>
      <w:r>
        <w:rPr>
          <w:rFonts w:ascii="Times New Roman" w:hAnsi="Times New Roman"/>
          <w:sz w:val="28"/>
          <w:b w:val="1"/>
        </w:rPr>
        <w:t xml:space="preserve">почтовая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ячейка 500, 1400 Вена, Австрия, Факс: </w:t>
      </w:r>
      <w:r>
        <w:rPr>
          <w:rFonts w:ascii="Times New Roman" w:hAnsi="Times New Roman"/>
          <w:sz w:val="28"/>
        </w:rPr>
        <w:t xml:space="preserve">+43 1 26060 5841, либо отсканированную копию официального сообщения по электронной почте на: </w:t>
      </w:r>
      <w:r>
        <w:rPr>
          <w:rFonts w:ascii="Times New Roman" w:hAnsi="Times New Roman"/>
          <w:sz w:val="28"/>
        </w:rPr>
        <w:t xml:space="preserve">UNCAC.COP@unodc.org, Просим обратить внимание, что только отсканированные копии вербальных нот/писем будут приниматься по электронной почте. </w:t>
      </w:r>
      <w:r>
        <w:rPr>
          <w:rFonts w:ascii="Times New Roman" w:hAnsi="Times New Roman"/>
          <w:sz w:val="28"/>
        </w:rPr>
        <w:t>Информация о составе правительственной делегации, включая имена, должности, а также контактную информацию, должна быть представлена в Управления, в максимально короткие сроки, и не позднее 7 августа 2015 года. //подпись// 29 мая 2015 года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Его превосходительство, г-н Владимир Воронков, Постоянный представитель Российской Федерации в Организации Объединенных Наций (Вена)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</w:rPr>
        <w:t>Вена, 1220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Защищая мир от наркотиков, преступности и терроризма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30597" w:rsidRDefault="00B305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Управление Организации Объединенных Наций по наркотикам и преступности | Венский Международный Центр | Почтовая </w:t>
      </w:r>
      <w:r>
        <w:rPr>
          <w:rFonts w:ascii="Times New Roman" w:hAnsi="Times New Roman"/>
          <w:sz w:val="28"/>
        </w:rPr>
        <w:t>ячейка 500 | 1400 Вена | Австрия</w:t>
      </w: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Тел.: (+43-1) 26060-0 | Факс: </w:t>
      </w:r>
      <w:r>
        <w:rPr>
          <w:rFonts w:ascii="Times New Roman" w:hAnsi="Times New Roman"/>
          <w:sz w:val="28"/>
        </w:rPr>
        <w:t xml:space="preserve">(+43-1) 26060-5841 | e-mail: uncac.cop@unodc.org | www.unodc.org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30597" w:rsidRDefault="00B305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30597" w:rsidRPr="007B7797" w:rsidRDefault="00B305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Организация Объединенных Наций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Управление Организации Объединенных Наций по наркотикам и преступности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ИНФОРМАЦИОННЫЙ БЮЛЛЕТЕНЬ ДЛЯ УЧАСТНИКОВ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Место:</w:t>
      </w: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Заседание будет проводиться в Управлении Организации Объединенных Наций в Вене, Венский Международный Центр, Ваграмер Штрасе (Wagramer Strasse) 5, 1220, Вена, Австрия.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30597" w:rsidRPr="007B7797" w:rsidRDefault="00B305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Регистрация: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30597" w:rsidRPr="007B7797" w:rsidRDefault="00B305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Информация о делегатах (имя, должность/обязанности, место работы, личный адрес электронной почты) должна быть направлена Секретариату Конференции в  </w:t>
      </w:r>
      <w:r>
        <w:rPr>
          <w:rFonts w:ascii="Times New Roman" w:hAnsi="Times New Roman"/>
          <w:sz w:val="28"/>
        </w:rPr>
        <w:t>максимально короткие сроки. Адрес секретариата следующий: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30597" w:rsidRPr="007B7797" w:rsidRDefault="00B305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Секретариат Конференции государств участников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Отделение по коррупции и экономическим преступлениям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Управление Организации Объединенных Наций по наркотикам и преступности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Факс: (0043-1) 26060 5841</w:t>
      </w: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E-mail: </w:t>
      </w:r>
      <w:hyperlink r:id="rId7">
        <w:r>
          <w:rPr>
            <w:rStyle w:val="a3"/>
            <w:rFonts w:ascii="Times New Roman" w:hAnsi="Times New Roman"/>
            <w:sz w:val="28"/>
          </w:rPr>
          <w:t>uncac.cop@unodc.org</w:t>
        </w:r>
      </w:hyperlink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30597" w:rsidRPr="007B7797" w:rsidRDefault="00B305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Предоставление личных адресов электронной почты позволит обеспечить, чтобы все представители получили автоматически ответы с подтверждением их регистрации. Автоматические ответы по электронной почте также будут содержать ссылку на сайт, на котором каждый делегат сможет загрузить фотографию ( d формате jpeg), что позволит сократить время, необходимое для выдачи пропусков в день регистрации.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Делегатам, которые не пройдут дорегистрационные процедуры будет необходимо сфотографироваться по прибытию у Подъезда 1 Венского Международного Центра.</w:t>
      </w: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рамках мероприятий по обеспечению безопасности, от всех участников требуется предоставление их приглашений или официальных сообщений, идентифицирующих их в качестве делегатов, а также паспорта или иного официального личного документа с фотографией. </w:t>
      </w:r>
      <w:r>
        <w:rPr>
          <w:rFonts w:ascii="Times New Roman" w:hAnsi="Times New Roman"/>
          <w:sz w:val="28"/>
        </w:rPr>
        <w:t xml:space="preserve">Пропуски необходимо носить на виду постоянно во время пребывания в Венском Международном Центре. </w:t>
      </w:r>
      <w:r>
        <w:rPr>
          <w:rFonts w:ascii="Times New Roman" w:hAnsi="Times New Roman"/>
          <w:sz w:val="28"/>
        </w:rPr>
        <w:t>При входе в центр будет осуществлено сканирование всех лиц и их ручной клади и портфелей.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30597" w:rsidRPr="007B7797" w:rsidRDefault="00B305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B305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Транспорт: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30597" w:rsidRPr="007B7797" w:rsidRDefault="00B305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Участники должны самостоятельно позаботиться о транспорте до и от аэропорта, а также Венского Международного Центра.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Между Венским Международным Аэропортом и Морцинплатц (Morzinplatz) курсирует автобус, стоимость проезда составляет 8 евро за поездку в один конец, включая багаж, время в пути составляет приблизительно 20 минут. </w:t>
      </w:r>
      <w:r>
        <w:rPr>
          <w:rFonts w:ascii="Times New Roman" w:hAnsi="Times New Roman"/>
          <w:sz w:val="28"/>
        </w:rPr>
        <w:t xml:space="preserve">Автобусы отходят в направлении Морцинплатц в 01:20 и 02:50, а также каждые полчаса с 04:30 до 12:20. Автобусы отправляются с Морцинплатц в аэропорта в 00:30,  </w:t>
      </w:r>
      <w:r>
        <w:rPr>
          <w:rFonts w:ascii="Times New Roman" w:hAnsi="Times New Roman"/>
          <w:sz w:val="28"/>
        </w:rPr>
        <w:t>02:00 и каждые полчаса с 04:00 до 23:00.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Также имеется автобусное сообщение между Венским Международным Центром (около станции Кайзермюлен (Kaisermuehlen)/Венский Международный Центр" на Третьей линии метро) и Венским Международным Аэропортом. </w:t>
      </w:r>
      <w:r>
        <w:rPr>
          <w:rFonts w:ascii="Times New Roman" w:hAnsi="Times New Roman"/>
          <w:sz w:val="28"/>
        </w:rPr>
        <w:t xml:space="preserve">Проезд стоит 8 евро в один конце и 13 евро за билет в оба конца. </w:t>
      </w:r>
      <w:r>
        <w:rPr>
          <w:rFonts w:ascii="Times New Roman" w:hAnsi="Times New Roman"/>
          <w:sz w:val="28"/>
        </w:rPr>
        <w:t xml:space="preserve">Поездка занимает приблизительно 20-45 минут. </w:t>
      </w:r>
      <w:r>
        <w:rPr>
          <w:rFonts w:ascii="Times New Roman" w:hAnsi="Times New Roman"/>
          <w:sz w:val="28"/>
        </w:rPr>
        <w:t>Автобусы отходят от аэропорта в сторону Венского Международного Центра каждый час с 07:10 до 20:10, а от Венского Международного центра в аэропорт каждый час с 06:10 до 19:10.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Городской поезд в аэропорт (CAT) перевозит пассажиров от терминала CAT в Вене ( станция "Вин Митте/Ландштрассе (Wien Mitte/Landstrasse)" на линиях метро U3 и U4) до Венского Международного Центра. </w:t>
      </w:r>
      <w:r>
        <w:rPr>
          <w:rFonts w:ascii="Times New Roman" w:hAnsi="Times New Roman"/>
          <w:sz w:val="28"/>
        </w:rPr>
        <w:t xml:space="preserve">Тариф составляет 12 евро за билет в один конец и 19 евро за билет в оба конца, а время в пути составляет около 16 минут. </w:t>
      </w:r>
      <w:r>
        <w:rPr>
          <w:rFonts w:ascii="Times New Roman" w:hAnsi="Times New Roman"/>
          <w:sz w:val="28"/>
        </w:rPr>
        <w:t>Поезда отходят от аэропорта в сторону Вин Митте/Ландштрассе каждые 30 минут с 06:06 до 23:06, а от Вин Митте/Ландштрассе в сторону аэропорта с 5:36 до 23:06.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127F2" w:rsidRDefault="005127F2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5127F2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Проживание: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127F2" w:rsidRPr="007B7797" w:rsidRDefault="005127F2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Каждый участник самостоятельно заботится о своем проживании, и, если это необходимо, связи с постоянной миссией своего государства в Вене для получения помощи.</w:t>
      </w: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Участники, которые прибывают в Венский Международный аэропорт не забронировав предварительно отель, могут связаться с Венской туристической службой, которая </w:t>
      </w:r>
      <w:r>
        <w:rPr>
          <w:rFonts w:ascii="Times New Roman" w:hAnsi="Times New Roman"/>
          <w:sz w:val="28"/>
        </w:rPr>
        <w:t xml:space="preserve">находятся рядом с информационной стойкой в зоне прибытия. </w:t>
      </w:r>
      <w:r>
        <w:rPr>
          <w:rFonts w:ascii="Times New Roman" w:hAnsi="Times New Roman"/>
          <w:sz w:val="28"/>
        </w:rPr>
        <w:t>Венская туристическая служба работает ежедневно с 06:00 до 23:00.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127F2" w:rsidRPr="007B7797" w:rsidRDefault="005127F2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Визы: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127F2" w:rsidRPr="007B7797" w:rsidRDefault="005127F2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Участники, которым требуется виза, должны обратиться в компетентные дипломатические или консульские учреждения Австрии и запросить краткосрочную шенгенскую визу (С), по меньшей мере за три недели до предполагаемой даты прибытия в Австрию. </w:t>
      </w:r>
      <w:r>
        <w:rPr>
          <w:rFonts w:ascii="Times New Roman" w:hAnsi="Times New Roman"/>
          <w:sz w:val="28"/>
        </w:rPr>
        <w:t>В странах, в которых у Австрии нет дипломатического или консульского представительства, заявки на получение визы могут представляться через консульское учреждение государства-участника Шенгенского соглашения, действующего от имени Австрии (Бельгия, Франция, Германия, Италия, Нидерланды, Португалия или Испания) в соответствующей стране.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127F2" w:rsidRPr="007B7797" w:rsidRDefault="005127F2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Документация: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127F2" w:rsidRPr="007B7797" w:rsidRDefault="005127F2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Документация будет доступна в электронном виде на официальных языках Организации Объединенных Наций на интернет-страницы Управления Организации Объединенных Наций по наркотикам и преступности, и может быть получена по следующим ссылкам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127F2" w:rsidRPr="007B7797" w:rsidRDefault="005127F2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7F2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http://wvw.unndc.org/unodc/en/treaties/CAC/index.html или </w:t>
      </w:r>
      <w:hyperlink r:id="rId8">
        <w:r>
          <w:rPr>
            <w:rStyle w:val="a3"/>
            <w:rFonts w:ascii="Times New Roman" w:hAnsi="Times New Roman"/>
            <w:sz w:val="28"/>
          </w:rPr>
          <w:t>http://myconference.unov.org</w:t>
        </w:r>
      </w:hyperlink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.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рамках инициатив секретариата по снижению расходов и поддержки инициатив по снижению вреда для окружающей среды посредством перевода в электронный вид  материалов конференции и публикаций, пресессионные документы будут доступны на конференции в Вене в ограниченном количестве. </w:t>
      </w:r>
      <w:r>
        <w:rPr>
          <w:rFonts w:ascii="Times New Roman" w:hAnsi="Times New Roman"/>
          <w:sz w:val="28"/>
        </w:rPr>
        <w:t xml:space="preserve">Каждая делегация получил единый, полный комплект документов на выбранном языке. </w:t>
      </w:r>
      <w:r>
        <w:rPr>
          <w:rFonts w:ascii="Times New Roman" w:hAnsi="Times New Roman"/>
          <w:sz w:val="28"/>
        </w:rPr>
        <w:t xml:space="preserve">Поэтому просим делегатов иметь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Страница 1 из 2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127F2" w:rsidRPr="007B7797" w:rsidRDefault="005127F2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свои собственные экземпляры пресессионных документов на заседании.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127F2" w:rsidRPr="007B7797" w:rsidRDefault="005127F2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Pr="007B7797" w:rsidRDefault="005127F2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Беспроводное интернет-соединение и интернет-кафе</w:t>
      </w: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 всем Здании-С имеется Wi-Fi покрытие, включая залы заседания и Зал делегаций/зону кофеен.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127F2" w:rsidRPr="007B7797" w:rsidRDefault="005127F2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Почта, телефон, телеграммы и телефакс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127F2" w:rsidRPr="007B7797" w:rsidRDefault="005127F2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Почтовое отделение находится на первом этаже Здания-С Венского Международного Центра (добавочный 4986) и предоставляет стандартные почтовые услуги, включая услуги факса, с понедельника по пятницу с 08:00 до 18:00.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127F2" w:rsidRPr="007B7797" w:rsidRDefault="005127F2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FD432A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Первая помощь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D432A" w:rsidRPr="007B7797" w:rsidRDefault="00FD432A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Медицинская помощь может быть оказана клиникой, под управлением Объединенных медицинских служб, находящейся в Венском Международном Центре, </w:t>
      </w:r>
      <w:r>
        <w:rPr>
          <w:rFonts w:ascii="Times New Roman" w:hAnsi="Times New Roman"/>
          <w:sz w:val="28"/>
        </w:rPr>
        <w:t xml:space="preserve">Здание-F, седьмой этаж (добавочный 22224, а для экстренных вызовов - добавочный 22222) </w:t>
      </w:r>
      <w:r>
        <w:rPr>
          <w:rFonts w:ascii="Times New Roman" w:hAnsi="Times New Roman"/>
          <w:sz w:val="28"/>
        </w:rPr>
        <w:t>Клиника открыта с 08:30 до полудня, и с 14:00 до 16:30, кроме четвергов, когда она открыта с 8:30 до полудня и с 14:00 до 15:00. Для получения экстренной помощи в другое время, просим связываться с Центральным управлением безопасности в комнате F0E21 (добавочный 3903).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D432A" w:rsidRPr="007B7797" w:rsidRDefault="00FD432A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Банки: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D432A" w:rsidRPr="007B7797" w:rsidRDefault="00FD432A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Банк Австрии имеет отделение, оказывающее любые банковские услуги, на первом этаже Здания-С, а также банкоматы на уровне входа Здания-D и первом этаже Здания-С Венского Международного Центра. Отделение работает по понедельникам, вторникам, средам и пятница с 09:00 до 15:00, а в четверг с 9:00 до 17:30.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D432A" w:rsidRPr="007B7797" w:rsidRDefault="00FD432A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Обеспечение питанием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D432A" w:rsidRPr="007B7797" w:rsidRDefault="00FD432A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Кафетерий находится на нижнем этаже Здания-F. </w:t>
      </w:r>
      <w:r>
        <w:rPr>
          <w:rFonts w:ascii="Times New Roman" w:hAnsi="Times New Roman"/>
          <w:sz w:val="28"/>
        </w:rPr>
        <w:t xml:space="preserve">Кафетерий открыт с 07:30 до 10:00 (завтрак) и с 11:30 до 14:30 (обед). </w:t>
      </w:r>
      <w:r>
        <w:rPr>
          <w:rFonts w:ascii="Times New Roman" w:hAnsi="Times New Roman"/>
          <w:sz w:val="28"/>
        </w:rPr>
        <w:t>Кофейня в кафетерии работает с 8:30 до 15:30.</w:t>
      </w: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Кофейня в Здании-М и Здании-С (С07) открыты с 9:00 до 16:30. Холл для проведения мероприятий находится в Здании-С (С02), и открыт с 11:30 до 15:00 и с 16:30 до 20:00. Прием в Венском Международном Центре может быть организован через службу общественного питания ((+43-1) 26060-4875; e-mail: </w:t>
      </w:r>
      <w:hyperlink r:id="rId9">
        <w:r>
          <w:rPr>
            <w:rStyle w:val="a3"/>
            <w:rFonts w:ascii="Times New Roman" w:hAnsi="Times New Roman"/>
            <w:sz w:val="28"/>
          </w:rPr>
          <w:t>cateringvic@eurest.at</w:t>
        </w:r>
      </w:hyperlink>
      <w:r>
        <w:rPr>
          <w:rFonts w:ascii="Times New Roman" w:hAnsi="Times New Roman"/>
          <w:sz w:val="28"/>
        </w:rPr>
        <w:t>).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D432A" w:rsidRPr="007B7797" w:rsidRDefault="00FD432A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Транспортные услуги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D432A" w:rsidRPr="007B7797" w:rsidRDefault="00FD432A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Отделение American Express (номер комнаты - COE01) доступно для сотрудникам, которым требуется помощь с организацией поездок, аренды автомобиля, осмотра достопримечательностей и заказом экскурсий. </w:t>
      </w:r>
      <w:r>
        <w:rPr>
          <w:rFonts w:ascii="Times New Roman" w:hAnsi="Times New Roman"/>
          <w:sz w:val="28"/>
        </w:rPr>
        <w:t>Отделение открыто с понедельника по пятницу с 8:30 до 17:00.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D432A" w:rsidRPr="007B7797" w:rsidRDefault="00FD432A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Доступ Венский Международный Центр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D432A" w:rsidRPr="007B7797" w:rsidRDefault="00FD432A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Участникам, прибывающим в Венский Международный Центр на такси, следует сходить на съезде (Небенфарбан (Nebenfahrbahn)) с Ваграмерштрасе, зарегистрироваться в Подъезде 1, пройти по Мемориал Плаза (Memorial Plaza), проследовать до входа "С" и следовать знакам до Здания-С. </w:t>
      </w:r>
      <w:r>
        <w:rPr>
          <w:rFonts w:ascii="Times New Roman" w:hAnsi="Times New Roman"/>
          <w:sz w:val="28"/>
        </w:rPr>
        <w:t xml:space="preserve">Участникам, прибывающим на метро (Линия 3), следует сходить на станции "Кайзермюлен/Венский 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Международный центр" (“Kaisermuehlen/Vienna International Centre”), следовать знакам "Vienna International Centre", зарегистрироваться в Подъезде 1, пройти по Мемориал Плаза (Memorial Plaza), и войти в Здание-С.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участников конференции не предусмотрено парковки, помимо делегатов Постоянной миссии, имеющих действующее разрешение на парковку.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Участники Постоянной миссии, которым требуется пропуск для их водителей должны подать запрос Координатору по вопросам безопасности Венского Международного Центра и Отдел пропусков Венского Международного Центра по электронной почте:</w:t>
      </w:r>
    </w:p>
    <w:p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VICSecurityCoordinator@unvienna.org and PassOftice@unvienna.org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7797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D1B" w:rsidRPr="007B7797" w:rsidRDefault="007B7797" w:rsidP="007B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Страница 2 из 2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27D1B" w:rsidRPr="007B7797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0" w:h="16840"/>
      <w:pgMar w:top="1885" w:right="904" w:bottom="1318" w:left="1775" w:header="0" w:footer="3" w:gutter="0"/>
      <w:cols w:space="720"/>
      <w:noEndnote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:rsidR="00B37C38" w:rsidRDefault="00B37C38">
      <w:pPr/>
      <w:r>
        <w:separator/>
      </w:r>
    </w:p>
  </w:endnote>
  <w:endnote xmlns:w15="http://schemas.microsoft.com/office/word/2012/wordml" w:type="continuationSeparator" w:id="0">
    <w:p w:rsidR="00B37C38" w:rsidRDefault="00B37C38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1B" w:rsidRDefault="00D27D1B"/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:rsidR="00B37C38" w:rsidRDefault="00B37C38">
      <w:pPr/>
      <w:r>
        <w:separator/>
      </w:r>
    </w:p>
  </w:footnote>
  <w:footnote xmlns:w15="http://schemas.microsoft.com/office/word/2012/wordml" w:type="continuationSeparator" w:id="0">
    <w:p w:rsidR="00B37C38" w:rsidRDefault="00B37C38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1B" w:rsidRDefault="00FD432A">
    <w:pPr>
      <w:rPr>
        <w:sz w:val="2"/>
        <w:szCs w:val="2"/>
      </w:rPr>
    </w:pPr>
    <w:r>
      <w:rPr>
        <w:noProof/>
      </w:rPr>
      <mc:AlternateContent xmlns:mc="http://schemas.openxmlformats.org/markup-compatibility/2006">
        <mc:Choice Requires="wps">
          <w:drawing>
            <wp:anchor xmlns:wp="http://schemas.openxmlformats.org/drawingml/2006/wordprocessingDrawing" distT="0" distB="0" distL="63500" distR="63500" simplePos="0" relativeHeight="314572424" behindDoc="1" locked="0" layoutInCell="1" allowOverlap="1">
              <wp:simplePos x="0" y="0"/>
              <wp:positionH relativeFrom="page">
                <wp:posOffset>6860540</wp:posOffset>
              </wp:positionH>
              <wp:positionV relativeFrom="page">
                <wp:posOffset>87630</wp:posOffset>
              </wp:positionV>
              <wp:extent cx="76835" cy="87630"/>
              <wp:effectExtent l="254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D1B" w:rsidRDefault="00B37C3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6pt"/>
                            </w:rPr>
                            <w:t>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xmlns:wp14="http://schemas.microsoft.com/office/word/2010/wordprocessingDrawing" relativeFrom="page">
                <wp14:pctWidth>0</wp14:pctWidth>
              </wp14:sizeRelH>
              <wp14:sizeRelV xmlns:wp14="http://schemas.microsoft.com/office/word/2010/wordprocessingDrawing" relativeFrom="page">
                <wp14:pctHeight>0</wp14:pctHeight>
              </wp14:sizeRelV>
            </wp:anchor>
          </w:drawing>
        </mc:Choice>
        <mc:Fallback>
          <w:pict>
            <v:shapetype xmlns:o="urn:schemas-microsoft-com:office:office" xmlns:v="urn:schemas-microsoft-com:vml" id="_x0000_t202" coordsize="21600,21600" o:spt="202" path="m,l,21600r21600,l21600,xe">
              <v:stroke joinstyle="miter"/>
              <v:path gradientshapeok="t" o:connecttype="rect"/>
            </v:shapetype>
            <v:shape xmlns:o="urn:schemas-microsoft-com:office:office" xmlns:v="urn:schemas-microsoft-com:vml" id="Text Box 2" o:spid="_x0000_s1026" type="#_x0000_t202" style="position:absolute;margin-left:540.2pt;margin-top:6.9pt;width:6.05pt;height:6.9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RnqgIAAKQ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" filled="f" stroked="f">
              <v:textbox style="mso-fit-shape-to-text:t" inset="0,0,0,0">
                <w:txbxContent>
                  <w:p w:rsidR="00D27D1B" w:rsidRDefault="00B37C3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6pt"/>
                      </w:rPr>
                      <w:t>10</w:t>
                    </w:r>
                  </w:p>
                </w:txbxContent>
              </v:textbox>
              <w10:wrap xmlns:w10="urn:schemas-microsoft-com:office:word"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1B" w:rsidRDefault="00FD432A">
    <w:pPr>
      <w:rPr>
        <w:sz w:val="2"/>
        <w:szCs w:val="2"/>
      </w:rPr>
    </w:pPr>
    <w:r>
      <w:rPr>
        <w:noProof/>
      </w:rPr>
      <mc:AlternateContent xmlns:mc="http://schemas.openxmlformats.org/markup-compatibility/2006">
        <mc:Choice Requires="wps">
          <w:drawing>
            <wp:anchor xmlns:wp="http://schemas.openxmlformats.org/drawingml/2006/wordprocessingDrawing" distT="0" distB="0" distL="63500" distR="63500" simplePos="0" relativeHeight="314572425" behindDoc="1" locked="0" layoutInCell="1" allowOverlap="1">
              <wp:simplePos x="0" y="0"/>
              <wp:positionH relativeFrom="page">
                <wp:posOffset>6860540</wp:posOffset>
              </wp:positionH>
              <wp:positionV relativeFrom="page">
                <wp:posOffset>87630</wp:posOffset>
              </wp:positionV>
              <wp:extent cx="76835" cy="87630"/>
              <wp:effectExtent l="254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D1B" w:rsidRDefault="00B37C3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6pt"/>
                            </w:rPr>
                            <w:t>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xmlns:wp14="http://schemas.microsoft.com/office/word/2010/wordprocessingDrawing" relativeFrom="page">
                <wp14:pctWidth>0</wp14:pctWidth>
              </wp14:sizeRelH>
              <wp14:sizeRelV xmlns:wp14="http://schemas.microsoft.com/office/word/2010/wordprocessingDrawing" relativeFrom="page">
                <wp14:pctHeight>0</wp14:pctHeight>
              </wp14:sizeRelV>
            </wp:anchor>
          </w:drawing>
        </mc:Choice>
        <mc:Fallback>
          <w:pict>
            <v:shapetype xmlns:o="urn:schemas-microsoft-com:office:office" xmlns:v="urn:schemas-microsoft-com:vml" id="_x0000_t202" coordsize="21600,21600" o:spt="202" path="m,l,21600r21600,l21600,xe">
              <v:stroke joinstyle="miter"/>
              <v:path gradientshapeok="t" o:connecttype="rect"/>
            </v:shapetype>
            <v:shape xmlns:o="urn:schemas-microsoft-com:office:office" xmlns:v="urn:schemas-microsoft-com:vml" id="Text Box 1" o:spid="_x0000_s1027" type="#_x0000_t202" style="position:absolute;margin-left:540.2pt;margin-top:6.9pt;width:6.05pt;height:6.9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" filled="f" stroked="f">
              <v:textbox style="mso-fit-shape-to-text:t" inset="0,0,0,0">
                <w:txbxContent>
                  <w:p w:rsidR="00D27D1B" w:rsidRDefault="00B37C3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6pt"/>
                      </w:rPr>
                      <w:t>10</w:t>
                    </w:r>
                  </w:p>
                </w:txbxContent>
              </v:textbox>
              <w10:wrap xmlns:w10="urn:schemas-microsoft-com:office:word"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1B" w:rsidRDefault="00D27D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A31"/>
    <w:multiLevelType w:val="multilevel"/>
    <w:tmpl w:val="F65E2B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87E90"/>
    <w:multiLevelType w:val="multilevel"/>
    <w:tmpl w:val="6C5C6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A83C27"/>
    <w:multiLevelType w:val="multilevel"/>
    <w:tmpl w:val="C4989C50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65182F"/>
    <w:multiLevelType w:val="multilevel"/>
    <w:tmpl w:val="D7E2B11C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1B"/>
    <w:rsid w:val="005127F2"/>
    <w:rsid w:val="007B7797"/>
    <w:rsid w:val="00B30597"/>
    <w:rsid w:val="00B37C38"/>
    <w:rsid w:val="00D27D1B"/>
    <w:rsid w:val="00FD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BA3D7-186E-42BE-9AC5-9E8AB757764D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a">
    <w:name w:val="Normal"/>
    <w:rPr>
      <w:color w:val="000000"/>
    </w:rPr>
  </w:style>
  <w:style xmlns:w15="http://schemas.microsoft.com/office/word/2012/wordml" w:type="character" w:default="1" w:styleId="a0">
    <w:name w:val="Default Paragraph Font"/>
    <w:uiPriority w:val="1"/>
    <w:semiHidden/>
    <w:unhideWhenUsed/>
  </w:style>
  <w:style xmlns:w15="http://schemas.microsoft.com/office/word/2012/wordml"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a2">
    <w:name w:val="No List"/>
    <w:uiPriority w:val="99"/>
    <w:semiHidden/>
    <w:unhideWhenUsed/>
  </w:style>
  <w:style xmlns:w15="http://schemas.microsoft.com/office/word/2012/wordml" w:type="character" w:styleId="a3">
    <w:name w:val="Hyperlink"/>
    <w:basedOn w:val="a0"/>
    <w:rPr>
      <w:color w:val="0066CC"/>
      <w:u w:val="single"/>
    </w:rPr>
  </w:style>
  <w:style xmlns:w15="http://schemas.microsoft.com/office/word/2012/wordml"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xmlns:w15="http://schemas.microsoft.com/office/word/2012/wordml"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xmlns:w15="http://schemas.microsoft.com/office/word/2012/wordml" w:type="character" w:customStyle="1" w:styleId="4Exact">
    <w:name w:val="Основной текст (4) Exact"/>
    <w:basedOn w:val="a0"/>
    <w:link w:val="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0"/>
      <w:szCs w:val="20"/>
      <w:u w:val="none"/>
    </w:rPr>
  </w:style>
  <w:style xmlns:w15="http://schemas.microsoft.com/office/word/2012/wordml"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xmlns:w15="http://schemas.microsoft.com/office/word/2012/wordml"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xmlns:w15="http://schemas.microsoft.com/office/word/2012/wordml"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xmlns:w15="http://schemas.microsoft.com/office/word/2012/wordml" w:type="character" w:customStyle="1" w:styleId="285pt">
    <w:name w:val="Заголовок №2 + 8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xmlns:w15="http://schemas.microsoft.com/office/word/2012/wordml"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xmlns:w15="http://schemas.microsoft.com/office/word/2012/wordml"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xmlns:w15="http://schemas.microsoft.com/office/word/2012/wordml" w:type="character" w:customStyle="1" w:styleId="105pt">
    <w:name w:val="Колонтитул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xmlns:w15="http://schemas.microsoft.com/office/word/2012/wordml"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xmlns:w15="http://schemas.microsoft.com/office/word/2012/wordml"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xmlns:w15="http://schemas.microsoft.com/office/word/2012/wordml"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xmlns:w15="http://schemas.microsoft.com/office/word/2012/wordml"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xmlns:w15="http://schemas.microsoft.com/office/word/2012/wordml"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xmlns:w15="http://schemas.microsoft.com/office/word/2012/wordml" w:type="character" w:customStyle="1" w:styleId="6pt">
    <w:name w:val="Колонтитул + 6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xmlns:w15="http://schemas.microsoft.com/office/word/2012/wordml" w:type="character" w:customStyle="1" w:styleId="7pt">
    <w:name w:val="Колонтитул + 7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xmlns:w15="http://schemas.microsoft.com/office/word/2012/wordml" w:type="character" w:customStyle="1" w:styleId="5Exact">
    <w:name w:val="Основной текст (5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xmlns:w15="http://schemas.microsoft.com/office/word/2012/wordml"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u w:val="none"/>
      <w:lang w:val="ru-RU" w:eastAsia="ru-RU" w:bidi="ru-RU"/>
    </w:rPr>
  </w:style>
  <w:style xmlns:w15="http://schemas.microsoft.com/office/word/2012/wordml" w:type="character" w:customStyle="1" w:styleId="3Exact0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xmlns:w15="http://schemas.microsoft.com/office/word/2012/wordml" w:type="character" w:customStyle="1" w:styleId="85pt">
    <w:name w:val="Колонтитул + 8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xmlns:w15="http://schemas.microsoft.com/office/word/2012/wordml" w:type="character" w:customStyle="1" w:styleId="65pt">
    <w:name w:val="Колонтитул + 6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xmlns:w15="http://schemas.microsoft.com/office/word/2012/wordml" w:type="character" w:customStyle="1" w:styleId="26pt">
    <w:name w:val="Основной текст (2) + 6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xmlns:w15="http://schemas.microsoft.com/office/word/2012/wordml"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xmlns:w15="http://schemas.microsoft.com/office/word/2012/wordml"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48"/>
      <w:szCs w:val="48"/>
      <w:u w:val="none"/>
    </w:rPr>
  </w:style>
  <w:style xmlns:w15="http://schemas.microsoft.com/office/word/2012/wordml"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xmlns:w15="http://schemas.microsoft.com/office/word/2012/wordml"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xmlns:w15="http://schemas.microsoft.com/office/word/2012/wordml" w:type="character" w:customStyle="1" w:styleId="885pt">
    <w:name w:val="Основной текст (8) + 8;5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xmlns:w15="http://schemas.microsoft.com/office/word/2012/wordml" w:type="character" w:customStyle="1" w:styleId="2Exact0">
    <w:name w:val="Подпись к картинке (2) Exact"/>
    <w:basedOn w:val="a0"/>
    <w:link w:val="23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xmlns:w15="http://schemas.microsoft.com/office/word/2012/wordml"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xmlns:w15="http://schemas.microsoft.com/office/word/2012/wordml"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xmlns:w15="http://schemas.microsoft.com/office/word/2012/wordml"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xmlns:w15="http://schemas.microsoft.com/office/word/2012/wordml"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xmlns:w15="http://schemas.microsoft.com/office/word/2012/wordml"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xmlns:w15="http://schemas.microsoft.com/office/word/2012/wordml"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xmlns:w15="http://schemas.microsoft.com/office/word/2012/wordml"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xmlns:w15="http://schemas.microsoft.com/office/word/2012/wordml"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xmlns:w15="http://schemas.microsoft.com/office/word/2012/wordml" w:type="character" w:customStyle="1" w:styleId="12">
    <w:name w:val="Основной текст (12)_"/>
    <w:basedOn w:val="a0"/>
    <w:link w:val="12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4"/>
      <w:szCs w:val="24"/>
      <w:u w:val="none"/>
    </w:rPr>
  </w:style>
  <w:style xmlns:w15="http://schemas.microsoft.com/office/word/2012/wordml" w:type="character" w:customStyle="1" w:styleId="13">
    <w:name w:val="Основной текст (13)_"/>
    <w:basedOn w:val="a0"/>
    <w:link w:val="13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30"/>
      <w:szCs w:val="30"/>
      <w:u w:val="none"/>
    </w:rPr>
  </w:style>
  <w:style xmlns:w15="http://schemas.microsoft.com/office/word/2012/wordml"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xmlns:w15="http://schemas.microsoft.com/office/word/2012/wordml" w:type="character" w:customStyle="1" w:styleId="2Tahoma7pt">
    <w:name w:val="Основной текст (2) + Tahoma;7 pt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xmlns:w15="http://schemas.microsoft.com/office/word/2012/wordml"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xmlns:w15="http://schemas.microsoft.com/office/word/2012/wordml"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xmlns:w15="http://schemas.microsoft.com/office/word/2012/wordml"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xmlns:w15="http://schemas.microsoft.com/office/word/2012/wordml" w:type="character" w:customStyle="1" w:styleId="295pt0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xmlns:w15="http://schemas.microsoft.com/office/word/2012/wordml"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xmlns:w15="http://schemas.microsoft.com/office/word/2012/wordml"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xmlns:w15="http://schemas.microsoft.com/office/word/2012/wordml" w:type="paragraph" w:customStyle="1" w:styleId="a5">
    <w:name w:val="Сноска"/>
    <w:basedOn w:val="a"/>
    <w:link w:val="a4"/>
    <w:pPr>
      <w:shd w:val="clear" w:color="auto" w:fill="FFFFFF"/>
      <w:spacing w:line="197" w:lineRule="exact"/>
      <w:ind w:hanging="120"/>
    </w:pPr>
    <w:rPr>
      <w:rFonts w:ascii="Times New Roman" w:eastAsia="Times New Roman" w:hAnsi="Times New Roman" w:cs="Times New Roman"/>
      <w:b/>
      <w:bCs/>
      <w:sz w:val="16"/>
      <w:szCs w:val="16"/>
    </w:rPr>
  </w:style>
  <w:style xmlns:w15="http://schemas.microsoft.com/office/word/2012/wordml" w:type="paragraph" w:customStyle="1" w:styleId="22">
    <w:name w:val="Основной текст (2)"/>
    <w:basedOn w:val="a"/>
    <w:link w:val="21"/>
    <w:pPr>
      <w:shd w:val="clear" w:color="auto" w:fill="FFFFFF"/>
      <w:spacing w:before="60" w:after="480" w:line="0" w:lineRule="atLeast"/>
      <w:ind w:hanging="440"/>
      <w:jc w:val="both"/>
    </w:pPr>
    <w:rPr>
      <w:rFonts w:ascii="Times New Roman" w:eastAsia="Times New Roman" w:hAnsi="Times New Roman" w:cs="Times New Roman"/>
      <w:sz w:val="17"/>
      <w:szCs w:val="17"/>
    </w:rPr>
  </w:style>
  <w:style xmlns:w15="http://schemas.microsoft.com/office/word/2012/wordml" w:type="paragraph" w:customStyle="1" w:styleId="4">
    <w:name w:val="Основной текст (4)"/>
    <w:basedOn w:val="a"/>
    <w:link w:val="4Exact"/>
    <w:pPr>
      <w:shd w:val="clear" w:color="auto" w:fill="FFFFFF"/>
      <w:spacing w:before="180" w:after="840" w:line="0" w:lineRule="atLeast"/>
    </w:pPr>
    <w:rPr>
      <w:rFonts w:ascii="MS Mincho" w:eastAsia="MS Mincho" w:hAnsi="MS Mincho" w:cs="MS Mincho"/>
      <w:sz w:val="20"/>
      <w:szCs w:val="20"/>
    </w:rPr>
  </w:style>
  <w:style xmlns:w15="http://schemas.microsoft.com/office/word/2012/wordml" w:type="paragraph" w:customStyle="1" w:styleId="32">
    <w:name w:val="Основной текст (3)"/>
    <w:basedOn w:val="a"/>
    <w:link w:val="31"/>
    <w:pPr>
      <w:shd w:val="clear" w:color="auto" w:fill="FFFFFF"/>
      <w:spacing w:before="240" w:line="341" w:lineRule="exact"/>
    </w:pPr>
    <w:rPr>
      <w:rFonts w:ascii="Times New Roman" w:eastAsia="Times New Roman" w:hAnsi="Times New Roman" w:cs="Times New Roman"/>
      <w:spacing w:val="10"/>
      <w:sz w:val="18"/>
      <w:szCs w:val="18"/>
    </w:rPr>
  </w:style>
  <w:style xmlns:w15="http://schemas.microsoft.com/office/word/2012/wordml"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xmlns:w15="http://schemas.microsoft.com/office/word/2012/wordml" w:type="paragraph" w:customStyle="1" w:styleId="20">
    <w:name w:val="Заголовок №2"/>
    <w:basedOn w:val="a"/>
    <w:link w:val="2"/>
    <w:pPr>
      <w:shd w:val="clear" w:color="auto" w:fill="FFFFFF"/>
      <w:spacing w:line="374" w:lineRule="exac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xmlns:w15="http://schemas.microsoft.com/office/word/2012/wordml"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xmlns:w15="http://schemas.microsoft.com/office/word/2012/wordml" w:type="paragraph" w:customStyle="1" w:styleId="41">
    <w:name w:val="Заголовок №4"/>
    <w:basedOn w:val="a"/>
    <w:link w:val="40"/>
    <w:pPr>
      <w:shd w:val="clear" w:color="auto" w:fill="FFFFFF"/>
      <w:spacing w:before="1740" w:after="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xmlns:w15="http://schemas.microsoft.com/office/word/2012/wordml" w:type="paragraph" w:customStyle="1" w:styleId="30">
    <w:name w:val="Заголовок №3"/>
    <w:basedOn w:val="a"/>
    <w:link w:val="3"/>
    <w:pPr>
      <w:shd w:val="clear" w:color="auto" w:fill="FFFFFF"/>
      <w:spacing w:before="480" w:line="475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xmlns:w15="http://schemas.microsoft.com/office/word/2012/wordml"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xmlns:w15="http://schemas.microsoft.com/office/word/2012/wordml"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  <w:lang w:val="ru-RU" w:eastAsia="ru-RU" w:bidi="ru-RU"/>
    </w:rPr>
  </w:style>
  <w:style xmlns:w15="http://schemas.microsoft.com/office/word/2012/wordml"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ahoma" w:eastAsia="Tahoma" w:hAnsi="Tahoma" w:cs="Tahoma"/>
      <w:b/>
      <w:bCs/>
      <w:sz w:val="48"/>
      <w:szCs w:val="48"/>
    </w:rPr>
  </w:style>
  <w:style xmlns:w15="http://schemas.microsoft.com/office/word/2012/wordml"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ahoma" w:eastAsia="Tahoma" w:hAnsi="Tahoma" w:cs="Tahoma"/>
      <w:sz w:val="17"/>
      <w:szCs w:val="17"/>
    </w:rPr>
  </w:style>
  <w:style xmlns:w15="http://schemas.microsoft.com/office/word/2012/wordml" w:type="paragraph" w:customStyle="1" w:styleId="80">
    <w:name w:val="Основной текст (8)"/>
    <w:basedOn w:val="a"/>
    <w:link w:val="8"/>
    <w:pPr>
      <w:shd w:val="clear" w:color="auto" w:fill="FFFFFF"/>
      <w:spacing w:line="499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xmlns:w15="http://schemas.microsoft.com/office/word/2012/wordml" w:type="paragraph" w:customStyle="1" w:styleId="23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xmlns:w15="http://schemas.microsoft.com/office/word/2012/wordml" w:type="paragraph" w:customStyle="1" w:styleId="101">
    <w:name w:val="Основной текст (10)"/>
    <w:basedOn w:val="a"/>
    <w:link w:val="100"/>
    <w:pPr>
      <w:shd w:val="clear" w:color="auto" w:fill="FFFFFF"/>
      <w:spacing w:before="660" w:line="28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xmlns:w15="http://schemas.microsoft.com/office/word/2012/wordml" w:type="paragraph" w:customStyle="1" w:styleId="90">
    <w:name w:val="Основной текст (9)"/>
    <w:basedOn w:val="a"/>
    <w:link w:val="9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xmlns:w15="http://schemas.microsoft.com/office/word/2012/wordml" w:type="paragraph" w:customStyle="1" w:styleId="110">
    <w:name w:val="Основной текст (11)"/>
    <w:basedOn w:val="a"/>
    <w:link w:val="11"/>
    <w:pPr>
      <w:shd w:val="clear" w:color="auto" w:fill="FFFFFF"/>
      <w:spacing w:before="1020" w:after="6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xmlns:w15="http://schemas.microsoft.com/office/word/2012/wordml"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</w:rPr>
  </w:style>
  <w:style xmlns:w15="http://schemas.microsoft.com/office/word/2012/wordml" w:type="paragraph" w:customStyle="1" w:styleId="130">
    <w:name w:val="Основной текст (13)"/>
    <w:basedOn w:val="a"/>
    <w:link w:val="13"/>
    <w:pPr>
      <w:shd w:val="clear" w:color="auto" w:fill="FFFFFF"/>
      <w:spacing w:after="720" w:line="0" w:lineRule="atLeast"/>
    </w:pPr>
    <w:rPr>
      <w:rFonts w:ascii="Arial Narrow" w:eastAsia="Arial Narrow" w:hAnsi="Arial Narrow" w:cs="Arial Narrow"/>
      <w:i/>
      <w:iCs/>
      <w:sz w:val="30"/>
      <w:szCs w:val="30"/>
    </w:rPr>
  </w:style>
  <w:style xmlns:w15="http://schemas.microsoft.com/office/word/2012/wordml" w:type="paragraph" w:customStyle="1" w:styleId="140">
    <w:name w:val="Основной текст (14)"/>
    <w:basedOn w:val="a"/>
    <w:link w:val="14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<Relationships xmlns="http://schemas.openxmlformats.org/package/2006/relationships"><Relationship Id="rId8" Type="http://schemas.openxmlformats.org/officeDocument/2006/relationships/hyperlink" Target="http://myconference.unov.org/" TargetMode="External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hyperlink" Target="mailto:uncac.cop@unodc.org" TargetMode="External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mailto:cateringvic@eurest.at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2972</Words>
  <Characters>16559</Characters>
  <Application>Microsoft Office Word</Application>
  <DocSecurity>0</DocSecurity>
  <Lines>385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2015-07-18T08:17:00Z</dcterms:created>
  <dcterms:modified xsi:type="dcterms:W3CDTF">2015-07-18T08:55:00Z</dcterms:modified>
</cp:coreProperties>
</file>