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Предварительные итоги года: офисы Москвы не нашли своих владельцев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color w:val="333333"/>
          <w:highlight w:val="white"/>
          <w:rtl w:val="0"/>
        </w:rPr>
        <w:t xml:space="preserve">Весь 2014-й год держал в напряжении участников рынка офисной недвижимости: по сути, все изменения в его основных показателях, имели исключительно отрицательные характер и динамику. Основной причиной данного явления аналитики склонны называть экономический кризис.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color w:val="333333"/>
          <w:highlight w:val="white"/>
          <w:rtl w:val="0"/>
        </w:rPr>
        <w:t xml:space="preserve">В этот период многими компаниями предпринимались радикальные меры - вплоть до сокращения рабочих мест, что, разумеется, сказалось на положении дел столичных бизнес-центров. Количество незадействованных площадей росло, и их владельцам приходилось снижать ставку, чтобы привлечь потенциального клиента к аренде офиса. Тем не менее, к концу 2014-го года остаются вакантными 2,5 миллиона квадратных метров качественных БЦ (из 15 млн. кв. м, представленных в этом году на рынок качественной офисной недвижимости, было реализовано лишь 12,5 млн.).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color w:val="333333"/>
          <w:highlight w:val="white"/>
          <w:rtl w:val="0"/>
        </w:rPr>
        <w:t xml:space="preserve">В 2014 году объем строительства бизнес-центров практически соответствовал объему задействованных площадей, которые были взяты в аренду или куплены. Правда, по данным </w:t>
      </w:r>
      <w:r w:rsidDel="00000000" w:rsidR="00000000" w:rsidRPr="00000000">
        <w:rPr>
          <w:color w:val="414141"/>
          <w:highlight w:val="white"/>
          <w:rtl w:val="0"/>
        </w:rPr>
        <w:t xml:space="preserve">Cushman&amp;Wakefield, показатель чистого поглощения, по которому можно судить о спросе на новые БЦ, был в 5 раз ниже. Итог - вакантными оказались 17,5% имеющейся в Москве офисной недвижимости, что является в период с 2000-го года рекордно высокой цифрой.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color w:val="414141"/>
          <w:highlight w:val="white"/>
          <w:rtl w:val="0"/>
        </w:rPr>
        <w:t xml:space="preserve">Более всего отмечается упадок спроса в сегменте высококачественных бизнес-центров. Например, площадей “А”-класса свободно около 1 млн. кв. м. (примерно - треть).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color w:val="414141"/>
          <w:highlight w:val="white"/>
          <w:rtl w:val="0"/>
        </w:rPr>
        <w:t xml:space="preserve">Стратегия привлечения арендаторов включает в себя снижение ставок на офисы, которые владельцы предлагают потенциальным клиентам. Если считать в долларовом эквиваленте, то аренда офисов в бизнес-центрах “А” и “В” класса стала стоить на 10% дешевле. Однако в условиях поднимающегося доллара данное предложение не подействовало.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color w:val="414141"/>
          <w:highlight w:val="white"/>
          <w:rtl w:val="0"/>
        </w:rPr>
        <w:t xml:space="preserve">Собственники шли навстречу арендаторам во всем, даже - в переходе на рублевую ставку (рублевый номинал или номинал в долларах по фиксированному курсу). В основном, это касается БЦ класса “В”. Аренда офисов категории “А” пока осуществляется без перехода на рублевую ставку, здесь наблюдается валютный коридор, который предлагают арендодатели.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color w:val="414141"/>
          <w:highlight w:val="white"/>
          <w:rtl w:val="0"/>
        </w:rPr>
        <w:t xml:space="preserve">Впрочем, аналитики ожидают, что переход на рублевый эквивалент при заключении договоров аренды станет основным трендом 2015-го года.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color w:val="414141"/>
          <w:highlight w:val="white"/>
          <w:rtl w:val="0"/>
        </w:rPr>
        <w:t xml:space="preserve">Владельцы бизнес-центров, помимо уже сказанного, разрабатывают систему различных “бонусов”: например, арендные каникулы или оплата отделки помещения, если ее осуществил арендатор.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</w:pPr>
      <w:r w:rsidDel="00000000" w:rsidR="00000000" w:rsidRPr="00000000">
        <w:rPr>
          <w:color w:val="414141"/>
          <w:highlight w:val="white"/>
          <w:rtl w:val="0"/>
        </w:rPr>
        <w:t xml:space="preserve">Спрос упал настолько сильно, что многие девелоперы даже “замораживают” свои проекты. Сейчас строится около 2,3 млн кв. м офисных площадей класса “А” и “В”. Возможно, в следующие два года на рынке деловой недвижимости еще больше сократится объем нового предложения. Именно это поможет направить ситуацию в благоприятное русло.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