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1684" w:rsidTr="00551684">
        <w:tc>
          <w:tcPr>
            <w:tcW w:w="4785" w:type="dxa"/>
          </w:tcPr>
          <w:p w:rsidR="00551684" w:rsidRPr="00551684" w:rsidRDefault="00551684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  <w:tc>
          <w:tcPr>
            <w:tcW w:w="4786" w:type="dxa"/>
          </w:tcPr>
          <w:p w:rsidR="00551684" w:rsidRPr="00551684" w:rsidRDefault="0055168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551684" w:rsidTr="00551684">
        <w:tc>
          <w:tcPr>
            <w:tcW w:w="4785" w:type="dxa"/>
          </w:tcPr>
          <w:p w:rsidR="00551684" w:rsidRDefault="00551684" w:rsidP="0055168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Контракт № </w:t>
            </w:r>
            <w:proofErr w:type="spellStart"/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хх</w:t>
            </w:r>
            <w:proofErr w:type="spellEnd"/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/16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3"/>
              <w:gridCol w:w="2346"/>
            </w:tblGrid>
            <w:tr w:rsidR="00551684" w:rsidTr="00551684">
              <w:tc>
                <w:tcPr>
                  <w:tcW w:w="4782" w:type="dxa"/>
                  <w:hideMark/>
                </w:tcPr>
                <w:p w:rsidR="00551684" w:rsidRDefault="00551684">
                  <w:pPr>
                    <w:pStyle w:val="Style3"/>
                    <w:widowControl/>
                    <w:spacing w:line="240" w:lineRule="auto"/>
                    <w:jc w:val="left"/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Style w:val="FontStyle11"/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 xml:space="preserve">г. </w:t>
                  </w:r>
                  <w:r>
                    <w:rPr>
                      <w:rStyle w:val="FontStyle11"/>
                      <w:rFonts w:ascii="Times New Roman" w:eastAsia="Arial" w:hAnsi="Times New Roman" w:cs="Times New Roman"/>
                      <w:b/>
                      <w:sz w:val="22"/>
                      <w:szCs w:val="22"/>
                      <w:lang w:val="sr-Cyrl-CS"/>
                    </w:rPr>
                    <w:t>Санкт-Петербург</w:t>
                  </w:r>
                </w:p>
              </w:tc>
              <w:tc>
                <w:tcPr>
                  <w:tcW w:w="4783" w:type="dxa"/>
                  <w:hideMark/>
                </w:tcPr>
                <w:p w:rsidR="00551684" w:rsidRDefault="00551684">
                  <w:pPr>
                    <w:pStyle w:val="Style3"/>
                    <w:widowControl/>
                    <w:spacing w:line="240" w:lineRule="auto"/>
                    <w:jc w:val="right"/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Style w:val="FontStyle11"/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rStyle w:val="FontStyle11"/>
                      <w:rFonts w:ascii="Times New Roman" w:eastAsia="Arial" w:hAnsi="Times New Roman" w:cs="Times New Roman"/>
                      <w:b/>
                      <w:sz w:val="22"/>
                      <w:szCs w:val="22"/>
                      <w:lang w:val="sr-Cyrl-CS"/>
                    </w:rPr>
                    <w:t>хх</w:t>
                  </w:r>
                  <w:r>
                    <w:rPr>
                      <w:rStyle w:val="FontStyle11"/>
                      <w:rFonts w:ascii="Times New Roman" w:eastAsia="Arial" w:hAnsi="Times New Roman" w:cs="Times New Roman"/>
                      <w:b/>
                      <w:sz w:val="22"/>
                      <w:szCs w:val="22"/>
                    </w:rPr>
                    <w:t>» ___________ 2016 г.</w:t>
                  </w:r>
                </w:p>
              </w:tc>
            </w:tr>
          </w:tbl>
          <w:p w:rsidR="00551684" w:rsidRDefault="00551684" w:rsidP="0055168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:rsidR="00551684" w:rsidRDefault="00551684" w:rsidP="00551684">
            <w:pPr>
              <w:pStyle w:val="Style3"/>
              <w:widowControl/>
              <w:spacing w:before="14" w:line="240" w:lineRule="auto"/>
              <w:ind w:firstLine="709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_________________________________ в </w:t>
            </w:r>
            <w:proofErr w:type="spell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лице_____________________________________</w:t>
            </w:r>
            <w:proofErr w:type="spell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, именуемое в дальнейшем «Продавец», с одной стороны, 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и ООО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"КАСТ Лтд" в лице Генерального директора Ткаченко Юрия Константиновича, действующего на основании Устава, именуемое в дальнейшем «Покупатель», с другой стороны, заключили настоящий договор о нижеследующем: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Предмет договора.</w:t>
            </w:r>
          </w:p>
          <w:p w:rsidR="00551684" w:rsidRDefault="00551684" w:rsidP="00551684">
            <w:pPr>
              <w:pStyle w:val="Style3"/>
              <w:widowControl/>
              <w:numPr>
                <w:ilvl w:val="1"/>
                <w:numId w:val="2"/>
              </w:numPr>
              <w:spacing w:before="14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Продавец обязуется изготовить и передать, а Покупатель обязуется принять и оплатить товар (далее «Товар») в соответствии с настоящим Договором, Инвойсами, Спецификациями к настоящему Договору.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2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Наименование, количество, ассортимент, стоимость, условия и сроки оплаты, условия поставки Товара указывается в Спецификациях и Инвойсах, являющихся неотъемлемой частью настоящего Договора и содержащих ссылки на номер и дату подписания настоящего Договора. Для исполнения настоящего Договора Продавец вправе привлечь третьих лиц, оставаясь ответственным за их действия перед  Покупателем.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Цены и общая сумма договора.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Общая цена Договора складывается из цен на Товар, указанных в соответствующих Спецификациях, содержащих ссылки на номер и дату подписания настоящего Договора. Цены устанавливаются в Евро.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Условия оплаты.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Валютой платежа является Евро. Условия оплаты указываются в Спецификациях на Товар.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Оплата за Товар по настоящему Договору производится Покупателем путем перечисления денежных средств на расчетный счет Продавца.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Моментом оплаты считается день зачисления денежных средств на расчетный счет Продавца.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Условия поставки и право собственности на Товар.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В целях ускорения взаимодействия сторон подписание Спецификаций может производиться по факсимильной связи или по электронной почте с последующей отправкой подлинных экземпляров по почте.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Продавец обязуется посредством факсимильной связи или путем предоставления сообщения по электронной почте, уведомить Покупателя о готовности Товара к отгрузке за 3 (три) дня до отгрузки.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Реквизиты поставки, срок поставки, способ доставки определяется сторонами в Спецификациях.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Право собственности, а также риск случайной гибели или случайного повреждения Товара переходит на Покупателя 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с даты поставки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Товара. Дата поставки Товара определяется в соответствии с условиями </w:t>
            </w:r>
            <w:proofErr w:type="spell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Инкотермс</w:t>
            </w:r>
            <w:proofErr w:type="spell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2000, указанными в 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соответствующих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Спецификации и Инвойсе.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Качество Товара и гарантийные обязательства.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Качество Товара должно соответствовать действующим государственным стандартам РФ и/или техническим условиям завода-изготовителя Товара и подтверждаться паспортами Продавца, Сертификатами, Протоколами испытаний и иными документами по требованию Продавца.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Гарантийный срок эксплуатации указывается в Спецификации на соответствующий Товар. 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Продавец не несет ответственности по гарантийным обязательствам в следующих случаях:</w:t>
            </w:r>
          </w:p>
          <w:p w:rsidR="00551684" w:rsidRDefault="00551684" w:rsidP="00551684">
            <w:pPr>
              <w:pStyle w:val="Style2"/>
              <w:widowControl/>
              <w:numPr>
                <w:ilvl w:val="2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при  нарушении Покупателем требований к условиям хранения и транспортировки Товара; при нарушении Покупателем правил эксплуатации Товара; при использовании Покупателем товара не по назначению;</w:t>
            </w:r>
          </w:p>
          <w:p w:rsidR="00551684" w:rsidRDefault="00551684" w:rsidP="00551684">
            <w:pPr>
              <w:pStyle w:val="Style2"/>
              <w:widowControl/>
              <w:numPr>
                <w:ilvl w:val="2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при осуществлении ремонта товара в течение гарантийного срока без письменного согласия Продавца, за исключением случаев, когда модификация/ремонт Товара были произведены Покупателем самостоятельно в результате неисполнения Продавцом своих гарантийных обязательств.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При обнаружении дефектов Товара в </w:t>
            </w: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период гарантийного срока эксплуатации Покупатель обязуется немедленно письменно уведомить об этом Продавца и направить ему письменную претензию по гарантии.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В случае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если появится претензия от Покупателя,  Продавец имеет право на осмотр товаров, которые являются предметом претензии. Контроль рекламированной продукции, будет производиться на складе Покупателя или конечного потребителя Товара.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Продавец обязуется своими силами и за свой счет устранить дефекты Товара, выявленные в период гарантийного срока эксплуатации, в согласованные сторонами сроки с момента получения от Покупателя соответствующей письменной претензии по гарантии и согласия Продавца на претензию. При невозможности устранения дефектов Продавец обязуется за свой счет заменить дефектный Товар в согласованные сторонами сроки.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Сдача и приемка Товара.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При обнаружении несоответствия ассортимента, количества, комплектации и качества Товара условиям настоящего Договора/Спецификаций и/или товаросопроводительным документам Покупатель обязуется письменно уведомить об этом Продавца. По результатам приемки Товара Покупатель имеет право заявить Продавцу претензии по ассортименту, количеству и комплектности Товара в течение 10 (десяти) календарных дней 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с даты поставки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, а по качеству Товара - в течение 20 (двадцати) календарных дней с даты поставки, если иное не установлено в Спецификации. 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Все отклонения Покупатель обязан подтвердить документами с целью однозначной проверки точности этих утверждений.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При наличии по результатам приемки Товара претензий со стороны Покупателя по ассортименту, количеству, комплектности и качеству Товара Продавец обязуется устранить выявленные недостатки в течение 30 (тридцати) календарных дней с момента получения соответствующей претензии от Покупателя и согласования с утверждениями </w:t>
            </w: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Покупателя. При невозможности устранения выявленных при приемке недостатков Продавец обязуется за свой заменить дефектный Товар в согласованные сторонами сроки. 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Упаковка и маркировка.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Тара и упаковка должны соответствовать характеру Товара и обеспечить его сохранность от повреждений при хранении и транспортировке. Особые или дополнительные требования к таре и упаковке оговариваются сторонами в Спецификациях к настоящему Договору.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Товар должен содержать товарную и специальную маркировку, нанесенную в соответствии с международными стандартами качества. Все расходы и убытки, возникшие вследствие неполноценной или неправильной маркировки, несет Продавец.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Покупатель должен уведомить Продавца обо всех особенных требованиях в связи с упаковкой и маркировкой Товара не 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позднее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чем за 7 календарных дней до отгрузки с завода Продавца.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Форс-мажор.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Стороны освобождаются от ответственности за частичное или полное неисполнение обязательств по настоящему Договору, если указанное неисполнение явилось следствием действия обстоятельств непреодолимой силы, возникших после заключения настоящего Договора в результате наводнений, землетрясений, эпидемий, войн, военных действий, забастовок, восстаний, саботажа, эмбарго, блокад и иных непредвиденных и непредотвратимых событий чрезвычайного характера при условии, что указанные обстоятельства непосредственно повлияли на исполнение Сторонами обязательств по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 настоящему Договору.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При возникновении обстоятельств непреодолимой силы сроки исполнения Сторонами обязательств по настоящему Договору увеличиваются соразмерно времени действия указанных обстоятельств. В случае если действие обстоятельств непреодолимой силы будет </w:t>
            </w: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продолжаться более 3 (трех) месяцев, стороны вправе расторгнуть настоящий Договор с возмещением фактически понесенных затрат. Стороны обязуются немедленно письменно уведомлять друг друга о возникновении и прекращении действия обстоятельств непреодолимой силы. К уведомлению должны быть приложены подтверждающие документы, выдаваемые Торгово-промышленной палатой по месту возникновения обстоятельств непреодолимой силы. При отсутствии своевременного уведомления сторона, виновная в полном или частичном неисполнении обязательств по настоящему Договору, теряет право ссылаться на обстоятельства непреодолимой силы.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Обязательства сторон.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Каждая из сторон обязана незамедлительно в письменном виде информировать другую сторону о любых обстоятельствах, которые могут повлиять на выполнение ею условий по настоящему Договору. В случае просрочки поставки Товара Продавец выплачивает Покупателю пени в размере 0,01% от стоимости Товара за каждый день просрочки. Общая сумма пени не может превышать 5% стоимости, не поставленного в срок Товара. В случае просрочки оплаты за полученный Товар Покупатель выплачивает Продавцу пени в размере 0,01% от просроченной суммы за каждый день просрочки платежа. Общая сумма компенсации за просрочку оплаты не может превышать 5% от просроченной суммы.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Право на получение компенсации возникает после выставления письменной претензии с обоснованием расчетов компенсации. Оплата пеней не освобождает стороны от исполнения обязательств по настоящему Договору.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Арбитраж.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Любой спор, любое разногласие или любая претензия, вытекающие из настоящего Договора или касающиеся его нарушения, расторжения или недействительности, которые Стороны не могут решить путем переговоров, будут окончательно решаться в Арбитражном суде по месту </w:t>
            </w: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нахождения ответчика. Языком арбитражного разбирательства является английский язык.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Срок действия Договора.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Настоящий Договор вступает в силу с момента его подписания Сторонами и действует до 31 декабря 2017 года.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Настоящий Договор регулируется законодательством Российской Федерации. Договор составлен в двух экземплярах, по одному для каждой из сторон. 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Договор может быть изменен или расторгнут досрочно по соглашению Сторон. В случае досрочного расторжения настоящего Договора по соглашению Сторон, Сторонами подписывается соглашение о его расторжении.</w:t>
            </w: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Конфиденциальность.</w:t>
            </w:r>
          </w:p>
          <w:p w:rsidR="00551684" w:rsidRDefault="00551684" w:rsidP="00551684">
            <w:pPr>
              <w:pStyle w:val="Style2"/>
              <w:widowControl/>
              <w:numPr>
                <w:ilvl w:val="1"/>
                <w:numId w:val="1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Настоящий договор, Спецификации и Инвойсы к нему, переписка и иные документы, связанные с исполнением настоящего Договора и содержащие коммерческую, техническую и иную информацию, не подлежат разглашению третьим лицам без письменного согласия Сторон.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551684" w:rsidRDefault="00551684" w:rsidP="00551684">
            <w:pPr>
              <w:pStyle w:val="Style3"/>
              <w:widowControl/>
              <w:numPr>
                <w:ilvl w:val="0"/>
                <w:numId w:val="1"/>
              </w:numPr>
              <w:spacing w:before="192" w:line="240" w:lineRule="auto"/>
              <w:jc w:val="center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Юридические адреса Сторон и банковские реквизиты.</w:t>
            </w:r>
          </w:p>
          <w:p w:rsidR="00551684" w:rsidRDefault="00551684" w:rsidP="00551684">
            <w:pPr>
              <w:pStyle w:val="Style3"/>
              <w:widowControl/>
              <w:spacing w:before="190" w:line="240" w:lineRule="auto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ООО «КА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СТ Лтд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ИНН 7817324220 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КПП 781701001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Юр.адрес: 196641, Санкт-Петербург, </w:t>
            </w:r>
            <w:proofErr w:type="spell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еталлострой</w:t>
            </w:r>
            <w:proofErr w:type="spellEnd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 xml:space="preserve">, ул.Пушкинская, д.1, </w:t>
            </w:r>
            <w:proofErr w:type="spellStart"/>
            <w:r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  <w:t>литер.Б</w:t>
            </w:r>
            <w:proofErr w:type="spellEnd"/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Платежные реквизиты:</w:t>
            </w:r>
          </w:p>
          <w:p w:rsidR="00551684" w:rsidRDefault="00551684" w:rsidP="00551684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</w:p>
          <w:p w:rsidR="00551684" w:rsidRDefault="00551684" w:rsidP="00551684">
            <w:pPr>
              <w:pStyle w:val="Style3"/>
              <w:widowControl/>
              <w:spacing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551684" w:rsidRDefault="00551684" w:rsidP="00551684">
            <w:pPr>
              <w:pStyle w:val="Style3"/>
              <w:widowControl/>
              <w:spacing w:before="240" w:line="240" w:lineRule="auto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Продавец:</w:t>
            </w:r>
          </w:p>
          <w:p w:rsidR="00551684" w:rsidRDefault="00551684" w:rsidP="00551684">
            <w:pPr>
              <w:spacing w:line="227" w:lineRule="exact"/>
              <w:jc w:val="both"/>
              <w:rPr>
                <w:sz w:val="24"/>
                <w:szCs w:val="24"/>
              </w:rPr>
            </w:pPr>
          </w:p>
          <w:p w:rsidR="00551684" w:rsidRDefault="00551684" w:rsidP="00551684">
            <w:pPr>
              <w:pStyle w:val="Bodytext20"/>
              <w:shd w:val="clear" w:color="auto" w:fill="auto"/>
              <w:spacing w:after="0" w:line="227" w:lineRule="exact"/>
              <w:jc w:val="both"/>
              <w:rPr>
                <w:sz w:val="19"/>
                <w:szCs w:val="19"/>
                <w:lang w:bidi="ru-RU"/>
              </w:rPr>
            </w:pPr>
            <w:r>
              <w:rPr>
                <w:sz w:val="19"/>
                <w:szCs w:val="19"/>
                <w:lang w:bidi="ru-RU"/>
              </w:rPr>
              <w:t>__________________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eastAsia="Arial" w:hAnsi="Times New Roman" w:cs="Times New Roman"/>
                <w:b/>
                <w:sz w:val="22"/>
                <w:szCs w:val="22"/>
              </w:rPr>
              <w:t>Платежные реквизиты:</w:t>
            </w:r>
          </w:p>
          <w:p w:rsidR="00551684" w:rsidRDefault="00551684" w:rsidP="00551684">
            <w:pPr>
              <w:pStyle w:val="Style3"/>
              <w:widowControl/>
              <w:tabs>
                <w:tab w:val="left" w:pos="1584"/>
                <w:tab w:val="left" w:pos="2948"/>
              </w:tabs>
              <w:spacing w:before="14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  <w:lang w:val="sr-Cyrl-CS"/>
              </w:rPr>
            </w:pPr>
          </w:p>
          <w:p w:rsidR="00551684" w:rsidRDefault="00551684" w:rsidP="00551684">
            <w:pPr>
              <w:pStyle w:val="Style3"/>
              <w:widowControl/>
              <w:tabs>
                <w:tab w:val="left" w:pos="1584"/>
                <w:tab w:val="left" w:pos="2948"/>
              </w:tabs>
              <w:spacing w:before="14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  <w:lang w:val="sr-Cyrl-CS"/>
              </w:rPr>
            </w:pPr>
          </w:p>
          <w:p w:rsidR="00551684" w:rsidRDefault="00551684" w:rsidP="00551684">
            <w:pPr>
              <w:pStyle w:val="Style3"/>
              <w:widowControl/>
              <w:tabs>
                <w:tab w:val="left" w:pos="1584"/>
                <w:tab w:val="left" w:pos="2948"/>
              </w:tabs>
              <w:spacing w:before="14" w:line="240" w:lineRule="auto"/>
              <w:rPr>
                <w:rStyle w:val="FontStyle11"/>
                <w:rFonts w:ascii="Times New Roman" w:eastAsia="Arial" w:hAnsi="Times New Roman" w:cs="Times New Roman"/>
                <w:sz w:val="22"/>
                <w:szCs w:val="22"/>
                <w:lang w:val="sr-Cyrl-CS"/>
              </w:rPr>
            </w:pPr>
          </w:p>
          <w:tbl>
            <w:tblPr>
              <w:tblStyle w:val="a3"/>
              <w:tblW w:w="10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7"/>
              <w:gridCol w:w="1700"/>
              <w:gridCol w:w="1416"/>
              <w:gridCol w:w="3827"/>
            </w:tblGrid>
            <w:tr w:rsidR="00551684" w:rsidTr="00551684">
              <w:tc>
                <w:tcPr>
                  <w:tcW w:w="5529" w:type="dxa"/>
                  <w:gridSpan w:val="2"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sz w:val="19"/>
                      <w:szCs w:val="19"/>
                      <w:lang w:bidi="ru-RU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  <w:lang w:val="ru-RU"/>
                    </w:rPr>
                  </w:pPr>
                </w:p>
              </w:tc>
            </w:tr>
            <w:tr w:rsidR="00551684" w:rsidTr="00551684">
              <w:tc>
                <w:tcPr>
                  <w:tcW w:w="3828" w:type="dxa"/>
                  <w:hideMark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  <w:lang w:bidi="ru-RU"/>
                    </w:rPr>
                    <w:lastRenderedPageBreak/>
                    <w:t>ООО «КА</w:t>
                  </w:r>
                  <w:proofErr w:type="gramStart"/>
                  <w:r>
                    <w:rPr>
                      <w:sz w:val="19"/>
                      <w:szCs w:val="19"/>
                      <w:lang w:bidi="ru-RU"/>
                    </w:rPr>
                    <w:t>СТ Лтд</w:t>
                  </w:r>
                  <w:proofErr w:type="gramEnd"/>
                  <w:r>
                    <w:rPr>
                      <w:sz w:val="19"/>
                      <w:szCs w:val="19"/>
                      <w:lang w:bidi="ru-RU"/>
                    </w:rPr>
                    <w:t>»</w:t>
                  </w:r>
                </w:p>
              </w:tc>
              <w:tc>
                <w:tcPr>
                  <w:tcW w:w="3118" w:type="dxa"/>
                  <w:gridSpan w:val="2"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hideMark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  <w:lang w:bidi="ru-RU"/>
                    </w:rPr>
                    <w:t>Продавец</w:t>
                  </w:r>
                </w:p>
              </w:tc>
            </w:tr>
            <w:tr w:rsidR="00551684" w:rsidTr="00551684"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</w:tr>
            <w:tr w:rsidR="00551684" w:rsidTr="00551684"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proofErr w:type="spellStart"/>
                  <w:r>
                    <w:rPr>
                      <w:rStyle w:val="Bodytext210pt"/>
                      <w:sz w:val="19"/>
                      <w:szCs w:val="19"/>
                    </w:rPr>
                    <w:t>Юрий</w:t>
                  </w:r>
                  <w:proofErr w:type="spellEnd"/>
                  <w:r>
                    <w:rPr>
                      <w:rStyle w:val="Bodytext210pt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Bodytext210pt"/>
                      <w:sz w:val="19"/>
                      <w:szCs w:val="19"/>
                    </w:rPr>
                    <w:t>Ткаченко</w:t>
                  </w:r>
                  <w:proofErr w:type="spellEnd"/>
                  <w:r>
                    <w:rPr>
                      <w:rStyle w:val="Bodytext210pt"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Style w:val="Bodytext210pt"/>
                      <w:sz w:val="19"/>
                      <w:szCs w:val="19"/>
                    </w:rPr>
                    <w:t>Генеральный</w:t>
                  </w:r>
                  <w:proofErr w:type="spellEnd"/>
                  <w:r>
                    <w:rPr>
                      <w:rStyle w:val="Bodytext210pt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Bodytext210pt"/>
                      <w:sz w:val="19"/>
                      <w:szCs w:val="19"/>
                    </w:rPr>
                    <w:t>директор</w:t>
                  </w:r>
                  <w:proofErr w:type="spellEnd"/>
                </w:p>
              </w:tc>
              <w:tc>
                <w:tcPr>
                  <w:tcW w:w="3118" w:type="dxa"/>
                  <w:gridSpan w:val="2"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51684" w:rsidRDefault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r>
                    <w:rPr>
                      <w:rFonts w:ascii="Helvetica" w:eastAsiaTheme="minorEastAsia" w:hAnsi="Helvetica" w:cs="Helvetica"/>
                      <w:b w:val="0"/>
                    </w:rPr>
                    <w:t>Имя,</w:t>
                  </w:r>
                  <w:r>
                    <w:rPr>
                      <w:rFonts w:asciiTheme="minorHAnsi" w:eastAsiaTheme="minorEastAsia" w:hAnsiTheme="minorHAnsi" w:cs="Helvetica"/>
                      <w:b w:val="0"/>
                    </w:rPr>
                    <w:t xml:space="preserve"> </w:t>
                  </w:r>
                  <w:r>
                    <w:rPr>
                      <w:rFonts w:ascii="Helvetica" w:eastAsiaTheme="minorEastAsia" w:hAnsi="Helvetica" w:cs="Helvetica"/>
                      <w:b w:val="0"/>
                    </w:rPr>
                    <w:t>должность</w:t>
                  </w:r>
                </w:p>
              </w:tc>
            </w:tr>
          </w:tbl>
          <w:p w:rsidR="00551684" w:rsidRDefault="00551684" w:rsidP="0055168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51684" w:rsidRDefault="00551684"/>
        </w:tc>
        <w:tc>
          <w:tcPr>
            <w:tcW w:w="4786" w:type="dxa"/>
          </w:tcPr>
          <w:p w:rsidR="00551684" w:rsidRDefault="00551684" w:rsidP="0055168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Contract no. XX</w:t>
            </w:r>
            <w:r w:rsidRPr="00551684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/16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3"/>
              <w:gridCol w:w="2347"/>
            </w:tblGrid>
            <w:tr w:rsidR="00551684" w:rsidRPr="004A0213" w:rsidTr="00551684">
              <w:tc>
                <w:tcPr>
                  <w:tcW w:w="4782" w:type="dxa"/>
                </w:tcPr>
                <w:p w:rsidR="00551684" w:rsidRPr="004D0078" w:rsidRDefault="00551684" w:rsidP="00551684">
                  <w:pPr>
                    <w:pStyle w:val="Style3"/>
                    <w:widowControl/>
                    <w:spacing w:line="240" w:lineRule="auto"/>
                    <w:jc w:val="left"/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Saint-Petersburg</w:t>
                  </w:r>
                </w:p>
              </w:tc>
              <w:tc>
                <w:tcPr>
                  <w:tcW w:w="4783" w:type="dxa"/>
                </w:tcPr>
                <w:p w:rsidR="00551684" w:rsidRPr="004D0078" w:rsidRDefault="00551684" w:rsidP="00551684">
                  <w:pPr>
                    <w:pStyle w:val="Style3"/>
                    <w:widowControl/>
                    <w:spacing w:line="240" w:lineRule="auto"/>
                    <w:jc w:val="right"/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 w:rsidRPr="00551684"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«</w:t>
                  </w:r>
                  <w:r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XX</w:t>
                  </w:r>
                  <w:r w:rsidRPr="00551684"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» ___________ 201</w:t>
                  </w:r>
                  <w:r>
                    <w:rPr>
                      <w:rStyle w:val="FontStyle11"/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</w:tbl>
          <w:p w:rsidR="00551684" w:rsidRPr="00D57BD6" w:rsidRDefault="00551684" w:rsidP="0055168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:rsidR="00551684" w:rsidRPr="004D0078" w:rsidRDefault="00551684" w:rsidP="00551684">
            <w:pPr>
              <w:pStyle w:val="Style3"/>
              <w:widowControl/>
              <w:spacing w:before="14" w:line="240" w:lineRule="auto"/>
              <w:ind w:firstLine="709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_________________________________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represented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_____________________________________,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hereinafter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-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hand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CAST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LTD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LLC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represented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chief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executive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officer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Yury</w:t>
            </w:r>
            <w:proofErr w:type="spellEnd"/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Konstantinovich</w:t>
            </w:r>
            <w:proofErr w:type="spellEnd"/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Tkachenko</w:t>
            </w:r>
            <w:proofErr w:type="spellEnd"/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acting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basis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articles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incorporation, hereinafter- Purchaser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 the other hand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>,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concluded the contract as follows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  <w:t>: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Subject of the contract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4D0078" w:rsidRDefault="00551684" w:rsidP="00551684">
            <w:pPr>
              <w:pStyle w:val="Style3"/>
              <w:widowControl/>
              <w:numPr>
                <w:ilvl w:val="1"/>
                <w:numId w:val="11"/>
              </w:numPr>
              <w:spacing w:before="14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produce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 deliver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accept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pay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hereinafter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according to this Contract, Invoices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Specifications hereto</w:t>
            </w:r>
            <w:r w:rsidRPr="004D00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393D11" w:rsidRDefault="00551684" w:rsidP="00551684">
            <w:pPr>
              <w:pStyle w:val="Style2"/>
              <w:widowControl/>
              <w:numPr>
                <w:ilvl w:val="1"/>
                <w:numId w:val="11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amount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range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price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conditions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terms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payment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conditions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delivery are specified in Invoices and Specifications which are integral part hereof, and contain references to number and date of signing this Contract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perform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entitled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involve third persons,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 shall bare responsibility for their actions to the Purchaser</w:t>
            </w:r>
            <w:r w:rsidRPr="00393D1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393D11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Prices and whole amount of Contract</w:t>
            </w:r>
            <w:r w:rsidRPr="00393D11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551684" w:rsidRPr="00DB776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whole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price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added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prices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 determined by the Specifications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which contain references to the number and date of signature hereof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prices are set in Euros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Terms of payment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DB776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 payment currency is Euro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Terms of payment shall be determined in the Specifications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B776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Payment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hereunder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 be made by the Purchaser by transferring the amount of money to the Seller’s banking account</w:t>
            </w:r>
            <w:r w:rsidRPr="00DB776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3B102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day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when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money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entered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account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 be considered the moment of payment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3B102E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Terms of delivery and right of property for the Goods</w:t>
            </w:r>
            <w:r w:rsidRPr="003B102E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551684" w:rsidRPr="003B102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order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speed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up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interaction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parties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 Specifications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can be signed by fax or email, with subsequent shipping of original copies by post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3B102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notify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fax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email, that the Goods are ready for the delivery, within 3 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three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days before the delivery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3B102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Details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delivery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timeframes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 the delivery, as well as the delivery method are determined by the parties in the Specifications</w:t>
            </w:r>
            <w:r w:rsidRPr="003B102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84651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right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property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well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risk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accidental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loss or accidental damage of the Goods is conveyed to the Purchaser since the delivery date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delivery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date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determined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accordance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with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Incoterms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2000,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by the Specifications and the Invoice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846512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Quality of Goods and warranty package</w:t>
            </w:r>
            <w:r w:rsidRPr="00846512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551684" w:rsidRPr="0084651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Quality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comply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with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effective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state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standards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Russian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Federation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and/or technical requirements of the producer factory and shall be confirmed by the Seller’s datasheets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certificates, test records and other documents according to the Seller’s requirements</w:t>
            </w:r>
            <w:r w:rsidRPr="0084651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ED7878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warranty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period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determined by the Specification for the respective Goods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551684" w:rsidRPr="00ED7878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 not be hold responsible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 warranty package in the following cases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551684" w:rsidRDefault="00551684" w:rsidP="00551684">
            <w:pPr>
              <w:pStyle w:val="Style2"/>
              <w:widowControl/>
              <w:numPr>
                <w:ilvl w:val="2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violates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requirements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 storage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transportation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conditions for these Goods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551684" w:rsidRDefault="00551684" w:rsidP="00551684">
            <w:pPr>
              <w:pStyle w:val="Style2"/>
              <w:widowControl/>
              <w:numPr>
                <w:ilvl w:val="2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 the Purchaser violates the service conditions for these Goods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551684" w:rsidRPr="00ED7878" w:rsidRDefault="00551684" w:rsidP="00551684">
            <w:pPr>
              <w:pStyle w:val="Style2"/>
              <w:widowControl/>
              <w:numPr>
                <w:ilvl w:val="2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 the Purchaser doesn’t use the Goods for their intended purpose</w:t>
            </w:r>
            <w:r w:rsidRPr="00ED7878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551684" w:rsidRPr="00D42839" w:rsidRDefault="00551684" w:rsidP="00551684">
            <w:pPr>
              <w:pStyle w:val="Style2"/>
              <w:widowControl/>
              <w:numPr>
                <w:ilvl w:val="2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repair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made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during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warranty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period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without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Seller’s written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consent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except for cases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when modification/repair of the Goods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were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made by the Purchaser on its own account because the Seller hasn’t performed its warranty package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42839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reveals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defects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during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warranty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period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 shall immediately notify the Seller of this fact and submit the claim on the warranty in written form</w:t>
            </w:r>
            <w:r w:rsidRPr="00D4283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5D1CA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forwards a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claim</w:t>
            </w:r>
            <w:proofErr w:type="gramStart"/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proofErr w:type="gramEnd"/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entitled to inspect the Goods which constitute the subject of the claim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Supervision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claimed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products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shall be made in the Purchaser’s storehouse or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the storehouse of the end user of these Goods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5D1CA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own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means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own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account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correct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defect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revealed during the warranty period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 the time frame agreed by the parties, since the date of receiving from the Purchaser the respective claim on the warranty and the Seller’s acceptance of the claim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impossible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correct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defects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 Seller shall, on its own account, replace the faulty Goods in the time frames agreed by the Parties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BC0B6E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Acceptance of Goods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5D1CA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reveals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inconsistency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between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range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amount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packaging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quality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terms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Specification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cover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documents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notify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 this fact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According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results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acceptance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procedure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entitled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forward 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claim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range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amount and packaging of the Goods within 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10 (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ten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calendar days since the delivery date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on the quality of the Goods- within 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20 (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twenty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calendar days since the delivery date unless it is agreed otherwise by the Specification</w:t>
            </w:r>
            <w:r w:rsidRPr="005D1CA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551684" w:rsidRPr="008B623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confirm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with the respective documents all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deviations,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 order to clearly check if these statements are true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8226AC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as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result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acceptance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procedure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forwards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claim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range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amount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packaging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quality of Goods, the Seller shall correct the revealed defects within 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30 (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thirty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calendar days since it receives the respective claim from the Purchaser, and the Purchaser’s statements are confirmed</w:t>
            </w:r>
            <w:r w:rsidRPr="008B623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impossible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correct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defects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revealed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during the acceptance procedure, the Seller shall, on its own account, replace the faulty Goods in time frames agreed by the Parties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551684" w:rsidRPr="00BC0B6E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Packing and marking</w:t>
            </w:r>
            <w:r w:rsidRPr="00BC0B6E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8226AC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Container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packaging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comply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with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type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ensure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safety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from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damages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during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storage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transportation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Special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additional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requirements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container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packaging shall be agreed by the Parties in Specifications hereto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8226AC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contain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special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marking applied in compliance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with international standards of quality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All the cost and loss which occur due to inadequate or incorrect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marking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shall be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born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by the Seller</w:t>
            </w:r>
            <w:r w:rsidRPr="008226A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2511FE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Purchaser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notify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Seller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all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special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requirements in respect of packing and marking of the Goods not later than 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calendar days before the delivery from the Seller’s factory</w:t>
            </w:r>
            <w:r w:rsidRPr="002511F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Force majeure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DE5EC3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Parties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are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exempted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from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their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responsibilities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partial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complete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failure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perform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liabilities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hereunder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failure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resulted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from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circumstances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irresistible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force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which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occurred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after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had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been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concluded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due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floods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earth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quakes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epidemics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wars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military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operations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strikes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rebellions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sabotage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embargo, blockades and other unforeseen and irreversible cases of emergency, provided that these circumstances directly influenced the parties’ ability to perform this Contract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71206C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there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are circumstances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irresistible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force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time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frames of performance of liabilities hereunder by the Parties are increased in proportion with the time while these circumstances are present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circumstances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irresistible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force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last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over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 (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three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months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 Parties are entitled to terminate this Contract, with reimbursement of the born costs</w:t>
            </w:r>
            <w:r w:rsidRPr="00DE5EC3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Parties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immediately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notify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each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written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occurrence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finishing of the circumstances of irresistible force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notification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accompanied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with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confirmative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documents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issued by the Chamber of Commerce and Industry at the place where the circumstances of irresistible force take place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absence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timely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notification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which is faulty of partial or complete failure to perform the liabilities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hereunder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loses its right to refer to the circumstances of irresistible force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Liabilities of the Parties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C66729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Each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immediately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written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form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inform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circumstances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which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may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influence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ability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perform conditions hereunder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there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delay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delivery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Seller shall pay the Purchaser penalty in the amount of 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proofErr w:type="gramStart"/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,01</w:t>
            </w:r>
            <w:proofErr w:type="gramEnd"/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%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price of the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Goods for each day of the delay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total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amount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penalty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not exceed 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the price for the delayed Goods</w:t>
            </w:r>
            <w:r w:rsidRPr="0071206C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there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delay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payment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delivered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Goods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Purchaser shall pay the Seller penalty in the amount of 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proofErr w:type="gramStart"/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,01</w:t>
            </w:r>
            <w:proofErr w:type="gramEnd"/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%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from the delayed amount of payment for each day of the payment delay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Total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amount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compensation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 the payment delay shall not exceed 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5%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the delayed amount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C66729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right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receiving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compensation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appears</w:t>
            </w:r>
            <w:proofErr w:type="gramEnd"/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after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forwarding written claim, with the basis for the amount of compensation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Payment of penalties doesn’t exempt the Parties from performing liabilities hereunder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Arbitration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C66729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Any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dispute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any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disagreement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claim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resulting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from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related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its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violation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termination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invalidity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which the Parties cannot regulate in the course of negotiations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will be finalized in arbitration court in the defendant’s location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language of litigation in the arbitration court is English</w:t>
            </w:r>
            <w:r w:rsidRPr="00C6672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Time of the Contract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93316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comes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into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force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since it is signed by the Parties and is effective until December 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31 2017.</w:t>
            </w:r>
          </w:p>
          <w:p w:rsidR="00551684" w:rsidRPr="0093316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 Contract is governed by the legislation of Russian Federation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made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two copies, one for each Party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:rsidR="00551684" w:rsidRPr="0093316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changed or terminated prematurely on the Parties’ agreement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case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of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premature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termination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hereof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Parties’ mutual agreement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Parties shall sign the agreement on its termination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D57BD6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Privacy</w:t>
            </w:r>
            <w:r w:rsidRPr="00D57BD6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51684" w:rsidRPr="00933162" w:rsidRDefault="00551684" w:rsidP="00551684">
            <w:pPr>
              <w:pStyle w:val="Style2"/>
              <w:widowControl/>
              <w:numPr>
                <w:ilvl w:val="1"/>
                <w:numId w:val="9"/>
              </w:numPr>
              <w:spacing w:before="5" w:line="240" w:lineRule="auto"/>
              <w:ind w:hanging="508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This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Contract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Specifications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Invoices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hereto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correspondence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documents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related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performance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hereof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containing commercial, technical and other information,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shall not be disclosed to third persons without written consent of the Parties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51684" w:rsidRPr="00933162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51684" w:rsidRPr="00933162" w:rsidRDefault="00551684" w:rsidP="00551684">
            <w:pPr>
              <w:pStyle w:val="Style3"/>
              <w:widowControl/>
              <w:numPr>
                <w:ilvl w:val="0"/>
                <w:numId w:val="9"/>
              </w:numPr>
              <w:spacing w:before="192" w:line="240" w:lineRule="auto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Legal addresses and banking details of the Parties</w:t>
            </w:r>
            <w:r w:rsidRPr="00933162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551684" w:rsidRPr="00933162" w:rsidRDefault="00551684" w:rsidP="00551684">
            <w:pPr>
              <w:pStyle w:val="Style3"/>
              <w:widowControl/>
              <w:spacing w:before="190" w:line="240" w:lineRule="auto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Purchaser</w:t>
            </w:r>
            <w:r w:rsidRPr="00933162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</w:p>
          <w:p w:rsidR="00551684" w:rsidRPr="00933162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CAST Ltd LLC</w:t>
            </w:r>
          </w:p>
          <w:p w:rsidR="00551684" w:rsidRPr="00933162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TIN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7817324220 </w:t>
            </w:r>
          </w:p>
          <w:p w:rsidR="00551684" w:rsidRPr="00933162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RRC</w:t>
            </w:r>
            <w:r w:rsidRPr="00933162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781701001</w:t>
            </w:r>
          </w:p>
          <w:p w:rsidR="00551684" w:rsidRPr="00B835F1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Legal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address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1,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lit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Pushkinskaya</w:t>
            </w:r>
            <w:proofErr w:type="spellEnd"/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street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Metallostroy</w:t>
            </w:r>
            <w:proofErr w:type="spellEnd"/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Saint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Petersburg</w:t>
            </w:r>
            <w:r w:rsidRPr="00B835F1"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  <w:t>, 196641</w:t>
            </w:r>
          </w:p>
          <w:p w:rsidR="00551684" w:rsidRPr="00B835F1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51684" w:rsidRPr="004D0078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Banking details</w:t>
            </w:r>
            <w:r w:rsidRPr="004D0078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551684" w:rsidRPr="004D0078" w:rsidRDefault="00551684" w:rsidP="00551684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551684" w:rsidRPr="004D0078" w:rsidRDefault="00551684" w:rsidP="00551684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  <w:p w:rsidR="00551684" w:rsidRPr="004D0078" w:rsidRDefault="00551684" w:rsidP="00551684">
            <w:pPr>
              <w:pStyle w:val="Style3"/>
              <w:widowControl/>
              <w:spacing w:before="240" w:line="240" w:lineRule="auto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Seller</w:t>
            </w:r>
            <w:r w:rsidRPr="004D0078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551684" w:rsidRPr="004D0078" w:rsidRDefault="00551684" w:rsidP="00551684">
            <w:pPr>
              <w:spacing w:line="227" w:lineRule="exact"/>
              <w:jc w:val="both"/>
            </w:pPr>
          </w:p>
          <w:p w:rsidR="00551684" w:rsidRPr="008D0D05" w:rsidRDefault="00551684" w:rsidP="00551684">
            <w:pPr>
              <w:pStyle w:val="Bodytext20"/>
              <w:shd w:val="clear" w:color="auto" w:fill="auto"/>
              <w:spacing w:after="0" w:line="227" w:lineRule="exact"/>
              <w:jc w:val="both"/>
              <w:rPr>
                <w:sz w:val="19"/>
                <w:szCs w:val="19"/>
                <w:lang w:bidi="ru-RU"/>
              </w:rPr>
            </w:pPr>
            <w:r>
              <w:rPr>
                <w:sz w:val="19"/>
                <w:szCs w:val="19"/>
                <w:lang w:bidi="ru-RU"/>
              </w:rPr>
              <w:t>__________________</w:t>
            </w:r>
          </w:p>
          <w:p w:rsidR="00551684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684" w:rsidRPr="00C360F7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684" w:rsidRPr="00C360F7" w:rsidRDefault="00551684" w:rsidP="00551684">
            <w:pPr>
              <w:pStyle w:val="Style3"/>
              <w:widowControl/>
              <w:spacing w:before="5" w:line="240" w:lineRule="auto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Banking details</w:t>
            </w:r>
            <w:r w:rsidRPr="00B429DE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551684" w:rsidRPr="00D57BD6" w:rsidRDefault="00551684" w:rsidP="00551684">
            <w:pPr>
              <w:pStyle w:val="Style3"/>
              <w:widowControl/>
              <w:tabs>
                <w:tab w:val="left" w:pos="1584"/>
                <w:tab w:val="left" w:pos="2948"/>
              </w:tabs>
              <w:spacing w:before="14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551684" w:rsidRDefault="00551684" w:rsidP="00551684">
            <w:pPr>
              <w:pStyle w:val="Style3"/>
              <w:widowControl/>
              <w:tabs>
                <w:tab w:val="left" w:pos="1584"/>
                <w:tab w:val="left" w:pos="2948"/>
              </w:tabs>
              <w:spacing w:before="14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551684" w:rsidRDefault="00551684" w:rsidP="00551684">
            <w:pPr>
              <w:pStyle w:val="Style3"/>
              <w:widowControl/>
              <w:tabs>
                <w:tab w:val="left" w:pos="1584"/>
                <w:tab w:val="left" w:pos="2948"/>
              </w:tabs>
              <w:spacing w:before="14"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tbl>
            <w:tblPr>
              <w:tblStyle w:val="a3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  <w:gridCol w:w="1701"/>
              <w:gridCol w:w="1417"/>
              <w:gridCol w:w="3828"/>
            </w:tblGrid>
            <w:tr w:rsidR="00551684" w:rsidRPr="004D0078" w:rsidTr="00551684">
              <w:tc>
                <w:tcPr>
                  <w:tcW w:w="5529" w:type="dxa"/>
                  <w:gridSpan w:val="2"/>
                </w:tcPr>
                <w:p w:rsidR="00551684" w:rsidRPr="004D0078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sz w:val="19"/>
                      <w:szCs w:val="19"/>
                      <w:lang w:bidi="ru-RU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551684" w:rsidRPr="004D0078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</w:tr>
            <w:tr w:rsidR="00551684" w:rsidRPr="00715AD0" w:rsidTr="00551684">
              <w:tc>
                <w:tcPr>
                  <w:tcW w:w="3828" w:type="dxa"/>
                </w:tcPr>
                <w:p w:rsidR="00551684" w:rsidRPr="00D3339B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r>
                    <w:rPr>
                      <w:rStyle w:val="Bodytext210pt"/>
                      <w:sz w:val="19"/>
                      <w:szCs w:val="19"/>
                    </w:rPr>
                    <w:t>CAST Ltd LLC</w:t>
                  </w:r>
                </w:p>
              </w:tc>
              <w:tc>
                <w:tcPr>
                  <w:tcW w:w="3118" w:type="dxa"/>
                  <w:gridSpan w:val="2"/>
                </w:tcPr>
                <w:p w:rsidR="00551684" w:rsidRPr="00B429DE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</w:tcPr>
                <w:p w:rsidR="00551684" w:rsidRPr="00715AD0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  <w:lang w:bidi="ru-RU"/>
                    </w:rPr>
                    <w:t>Продавец</w:t>
                  </w:r>
                </w:p>
              </w:tc>
            </w:tr>
            <w:tr w:rsidR="00551684" w:rsidRPr="00715AD0" w:rsidTr="00551684"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551684" w:rsidRPr="00715AD0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:rsidR="00551684" w:rsidRPr="00B429DE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551684" w:rsidRPr="00B429DE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</w:tr>
            <w:tr w:rsidR="00551684" w:rsidRPr="00381718" w:rsidTr="00551684"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551684" w:rsidRPr="00D3339B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proofErr w:type="spellStart"/>
                  <w:r>
                    <w:rPr>
                      <w:rStyle w:val="Bodytext210pt"/>
                      <w:sz w:val="19"/>
                      <w:szCs w:val="19"/>
                    </w:rPr>
                    <w:t>Yury</w:t>
                  </w:r>
                  <w:proofErr w:type="spellEnd"/>
                  <w:r>
                    <w:rPr>
                      <w:rStyle w:val="Bodytext210pt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Style w:val="Bodytext210pt"/>
                      <w:sz w:val="19"/>
                      <w:szCs w:val="19"/>
                    </w:rPr>
                    <w:t>Tkachenko</w:t>
                  </w:r>
                  <w:proofErr w:type="spellEnd"/>
                  <w:r>
                    <w:rPr>
                      <w:rStyle w:val="Bodytext210pt"/>
                      <w:sz w:val="19"/>
                      <w:szCs w:val="19"/>
                    </w:rPr>
                    <w:t>, CEO</w:t>
                  </w:r>
                </w:p>
              </w:tc>
              <w:tc>
                <w:tcPr>
                  <w:tcW w:w="3118" w:type="dxa"/>
                  <w:gridSpan w:val="2"/>
                </w:tcPr>
                <w:p w:rsidR="00551684" w:rsidRPr="00B429DE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551684" w:rsidRPr="00D3339B" w:rsidRDefault="00551684" w:rsidP="00551684">
                  <w:pPr>
                    <w:pStyle w:val="Bodytext20"/>
                    <w:shd w:val="clear" w:color="auto" w:fill="auto"/>
                    <w:spacing w:after="299"/>
                    <w:ind w:right="60"/>
                    <w:rPr>
                      <w:rStyle w:val="Bodytext210pt"/>
                      <w:sz w:val="19"/>
                      <w:szCs w:val="19"/>
                    </w:rPr>
                  </w:pPr>
                  <w:r>
                    <w:rPr>
                      <w:rFonts w:ascii="Helvetica" w:eastAsiaTheme="minorEastAsia" w:hAnsi="Helvetica" w:cs="Helvetica"/>
                      <w:b w:val="0"/>
                      <w:lang w:val="en-US"/>
                    </w:rPr>
                    <w:t>Name</w:t>
                  </w:r>
                  <w:r>
                    <w:rPr>
                      <w:rFonts w:ascii="Helvetica" w:eastAsiaTheme="minorEastAsia" w:hAnsi="Helvetica" w:cs="Helvetica"/>
                      <w:b w:val="0"/>
                    </w:rPr>
                    <w:t>,</w:t>
                  </w:r>
                  <w:r>
                    <w:rPr>
                      <w:rFonts w:asciiTheme="minorHAnsi" w:eastAsiaTheme="minorEastAsia" w:hAnsiTheme="minorHAnsi" w:cs="Helvetica"/>
                      <w:b w:val="0"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="Helvetica"/>
                      <w:b w:val="0"/>
                      <w:lang w:val="en-US"/>
                    </w:rPr>
                    <w:t>position</w:t>
                  </w:r>
                </w:p>
              </w:tc>
            </w:tr>
          </w:tbl>
          <w:p w:rsidR="00551684" w:rsidRPr="00C360F7" w:rsidRDefault="00551684" w:rsidP="00551684">
            <w:pPr>
              <w:jc w:val="both"/>
            </w:pPr>
          </w:p>
          <w:p w:rsidR="00551684" w:rsidRDefault="00551684"/>
        </w:tc>
      </w:tr>
    </w:tbl>
    <w:p w:rsidR="00551684" w:rsidRDefault="00551684"/>
    <w:sectPr w:rsidR="00551684" w:rsidSect="00E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04E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45F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06112"/>
    <w:multiLevelType w:val="multilevel"/>
    <w:tmpl w:val="23CA54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541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017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AF4D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304C80"/>
    <w:multiLevelType w:val="hybridMultilevel"/>
    <w:tmpl w:val="D3E4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035F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291F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B67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A84D31"/>
    <w:multiLevelType w:val="multilevel"/>
    <w:tmpl w:val="9EFE1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476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A53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7D48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ED5E04"/>
    <w:multiLevelType w:val="multilevel"/>
    <w:tmpl w:val="B330A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8918CA"/>
    <w:multiLevelType w:val="hybridMultilevel"/>
    <w:tmpl w:val="62E8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0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684"/>
    <w:rsid w:val="004A0213"/>
    <w:rsid w:val="00551684"/>
    <w:rsid w:val="00B50CC3"/>
    <w:rsid w:val="00E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684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551684"/>
    <w:pPr>
      <w:widowControl w:val="0"/>
      <w:autoSpaceDE w:val="0"/>
      <w:autoSpaceDN w:val="0"/>
      <w:adjustRightInd w:val="0"/>
      <w:spacing w:after="0" w:line="19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55168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1684"/>
    <w:pPr>
      <w:widowControl w:val="0"/>
      <w:shd w:val="clear" w:color="auto" w:fill="FFFFFF"/>
      <w:spacing w:after="180" w:line="338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rsid w:val="00551684"/>
    <w:rPr>
      <w:rFonts w:ascii="Tahoma" w:hAnsi="Tahoma" w:cs="Tahoma" w:hint="default"/>
      <w:sz w:val="18"/>
      <w:szCs w:val="18"/>
    </w:rPr>
  </w:style>
  <w:style w:type="character" w:customStyle="1" w:styleId="Bodytext210pt">
    <w:name w:val="Body text (2) + 10 pt"/>
    <w:basedOn w:val="Bodytext2"/>
    <w:rsid w:val="00551684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Style1">
    <w:name w:val="Style1"/>
    <w:basedOn w:val="a"/>
    <w:rsid w:val="00551684"/>
    <w:pPr>
      <w:widowControl w:val="0"/>
      <w:autoSpaceDE w:val="0"/>
      <w:autoSpaceDN w:val="0"/>
      <w:adjustRightInd w:val="0"/>
      <w:spacing w:after="0" w:line="187" w:lineRule="exact"/>
      <w:ind w:firstLine="144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rsid w:val="00551684"/>
    <w:rPr>
      <w:rFonts w:ascii="Tahoma" w:hAnsi="Tahoma" w:cs="Tahoma"/>
      <w:sz w:val="18"/>
      <w:szCs w:val="18"/>
    </w:rPr>
  </w:style>
  <w:style w:type="character" w:customStyle="1" w:styleId="FontStyle14">
    <w:name w:val="Font Style14"/>
    <w:basedOn w:val="a0"/>
    <w:rsid w:val="00551684"/>
    <w:rPr>
      <w:rFonts w:ascii="Tahoma" w:hAnsi="Tahoma" w:cs="Tahoma"/>
      <w:b/>
      <w:bCs/>
      <w:spacing w:val="-10"/>
      <w:sz w:val="16"/>
      <w:szCs w:val="16"/>
    </w:rPr>
  </w:style>
  <w:style w:type="paragraph" w:customStyle="1" w:styleId="Style4">
    <w:name w:val="Style4"/>
    <w:basedOn w:val="a"/>
    <w:rsid w:val="00551684"/>
    <w:pPr>
      <w:widowControl w:val="0"/>
      <w:autoSpaceDE w:val="0"/>
      <w:autoSpaceDN w:val="0"/>
      <w:adjustRightInd w:val="0"/>
      <w:spacing w:after="0" w:line="194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basedOn w:val="a0"/>
    <w:rsid w:val="00551684"/>
    <w:rPr>
      <w:rFonts w:ascii="Tahoma" w:hAnsi="Tahoma" w:cs="Tahoma"/>
      <w:spacing w:val="-10"/>
      <w:sz w:val="20"/>
      <w:szCs w:val="20"/>
    </w:rPr>
  </w:style>
  <w:style w:type="paragraph" w:customStyle="1" w:styleId="Style5">
    <w:name w:val="Style5"/>
    <w:basedOn w:val="a"/>
    <w:rsid w:val="005516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21">
    <w:name w:val="Font Style21"/>
    <w:basedOn w:val="a0"/>
    <w:rsid w:val="00551684"/>
    <w:rPr>
      <w:rFonts w:ascii="Franklin Gothic Medium" w:hAnsi="Franklin Gothic Medium" w:cs="Franklin Gothic Medium"/>
      <w:b/>
      <w:bCs/>
      <w:spacing w:val="-10"/>
      <w:sz w:val="18"/>
      <w:szCs w:val="18"/>
    </w:rPr>
  </w:style>
  <w:style w:type="character" w:customStyle="1" w:styleId="FontStyle22">
    <w:name w:val="Font Style22"/>
    <w:basedOn w:val="a0"/>
    <w:rsid w:val="00551684"/>
    <w:rPr>
      <w:rFonts w:ascii="Trebuchet MS" w:hAnsi="Trebuchet MS" w:cs="Trebuchet MS"/>
      <w:spacing w:val="-10"/>
      <w:sz w:val="18"/>
      <w:szCs w:val="18"/>
    </w:rPr>
  </w:style>
  <w:style w:type="character" w:customStyle="1" w:styleId="FontStyle19">
    <w:name w:val="Font Style19"/>
    <w:basedOn w:val="a0"/>
    <w:rsid w:val="00551684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1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168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551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5168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55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168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16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8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5168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2016-12-09T09:49:00Z</dcterms:created>
  <dcterms:modified xsi:type="dcterms:W3CDTF">2016-12-09T09:54:00Z</dcterms:modified>
</cp:coreProperties>
</file>