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DB" w:rsidRDefault="00A63BDB" w:rsidP="00335C26">
      <w:pPr>
        <w:spacing w:after="240" w:line="276" w:lineRule="auto"/>
        <w:jc w:val="center"/>
        <w:rPr>
          <w:rStyle w:val="ws-project-info-description"/>
          <w:b/>
          <w:sz w:val="28"/>
        </w:rPr>
      </w:pPr>
      <w:r>
        <w:rPr>
          <w:rStyle w:val="ws-project-info-description"/>
          <w:b/>
          <w:sz w:val="28"/>
        </w:rPr>
        <w:t>Маркетинговое исследование</w:t>
      </w:r>
    </w:p>
    <w:p w:rsidR="00187CD6" w:rsidRPr="00966E6B" w:rsidRDefault="00335C26" w:rsidP="00335C26">
      <w:pPr>
        <w:spacing w:after="240" w:line="276" w:lineRule="auto"/>
        <w:jc w:val="center"/>
        <w:rPr>
          <w:rStyle w:val="ws-project-info-description"/>
          <w:b/>
          <w:sz w:val="28"/>
        </w:rPr>
      </w:pPr>
      <w:r>
        <w:rPr>
          <w:rStyle w:val="ws-project-info-description"/>
          <w:b/>
          <w:sz w:val="28"/>
        </w:rPr>
        <w:t>Статистика мужской доли населения Санкт-Петербурга</w:t>
      </w:r>
    </w:p>
    <w:p w:rsidR="00DF298E" w:rsidRPr="00B41179" w:rsidRDefault="00DF298E" w:rsidP="00364DDE">
      <w:pPr>
        <w:spacing w:after="240"/>
        <w:jc w:val="both"/>
        <w:rPr>
          <w:rStyle w:val="ws-project-info-description"/>
          <w:b/>
          <w:color w:val="2F5496" w:themeColor="accent5" w:themeShade="BF"/>
        </w:rPr>
      </w:pPr>
      <w:r w:rsidRPr="00B41179">
        <w:rPr>
          <w:rStyle w:val="ws-project-info-description"/>
          <w:b/>
          <w:color w:val="2F5496" w:themeColor="accent5" w:themeShade="BF"/>
        </w:rPr>
        <w:t>1. Возраст. Какую долю составляют мужчины 18-25 лет, 26-35 лет, 36-45 лет, 46-55 лет, 56-65 лет?</w:t>
      </w:r>
    </w:p>
    <w:p w:rsidR="0022636F" w:rsidRPr="0022636F" w:rsidRDefault="0022636F" w:rsidP="007D2564">
      <w:pPr>
        <w:spacing w:after="120"/>
        <w:rPr>
          <w:rStyle w:val="ws-project-info-description"/>
          <w:b/>
        </w:rPr>
      </w:pPr>
      <w:r w:rsidRPr="0022636F">
        <w:rPr>
          <w:rStyle w:val="ws-project-info-description"/>
          <w:b/>
        </w:rPr>
        <w:t>Мужчины</w:t>
      </w:r>
    </w:p>
    <w:p w:rsidR="002A1970" w:rsidRDefault="0022636F" w:rsidP="002A1970">
      <w:pPr>
        <w:spacing w:line="276" w:lineRule="auto"/>
        <w:rPr>
          <w:rStyle w:val="ws-project-info-description"/>
        </w:rPr>
      </w:pPr>
      <w:r>
        <w:rPr>
          <w:rStyle w:val="ws-project-info-description"/>
        </w:rPr>
        <w:t xml:space="preserve">Численность населения на </w:t>
      </w:r>
      <w:r w:rsidRPr="00A03300">
        <w:rPr>
          <w:rStyle w:val="ws-project-info-description"/>
          <w:b/>
        </w:rPr>
        <w:t>1 января 2016</w:t>
      </w:r>
      <w:r>
        <w:rPr>
          <w:rStyle w:val="ws-project-info-description"/>
        </w:rPr>
        <w:t xml:space="preserve"> – </w:t>
      </w:r>
      <w:r w:rsidRPr="00921324">
        <w:rPr>
          <w:rStyle w:val="ws-project-info-description"/>
          <w:b/>
        </w:rPr>
        <w:t xml:space="preserve">2 372 000 </w:t>
      </w:r>
      <w:r w:rsidR="007D2564" w:rsidRPr="00921324">
        <w:rPr>
          <w:rStyle w:val="ws-project-info-description"/>
          <w:b/>
        </w:rPr>
        <w:t>мужчин</w:t>
      </w:r>
      <w:r w:rsidR="007D2564">
        <w:rPr>
          <w:rStyle w:val="ws-project-info-description"/>
        </w:rPr>
        <w:t>.</w:t>
      </w:r>
      <w:r w:rsidR="002A1970">
        <w:rPr>
          <w:rStyle w:val="ws-project-info-description"/>
        </w:rPr>
        <w:t xml:space="preserve"> </w:t>
      </w:r>
    </w:p>
    <w:p w:rsidR="00966E6B" w:rsidRPr="00B41179" w:rsidRDefault="002A1970" w:rsidP="00B41179">
      <w:pPr>
        <w:spacing w:after="240" w:line="276" w:lineRule="auto"/>
        <w:rPr>
          <w:rStyle w:val="ws-project-info-description"/>
        </w:rPr>
      </w:pPr>
      <w:r>
        <w:rPr>
          <w:rStyle w:val="ws-project-info-description"/>
        </w:rPr>
        <w:t>В общей численности населения 45,4%</w:t>
      </w:r>
      <w:r w:rsidR="00187CD6">
        <w:rPr>
          <w:rStyle w:val="ws-project-info-description"/>
        </w:rPr>
        <w:t xml:space="preserve"> мужчин</w:t>
      </w:r>
      <w:r>
        <w:rPr>
          <w:rStyle w:val="ws-project-info-description"/>
        </w:rPr>
        <w:t>.</w:t>
      </w:r>
    </w:p>
    <w:p w:rsidR="00335C26" w:rsidRDefault="009A65CC" w:rsidP="00335C26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Количество мужчин в Санкт-Петербурге на 14 октября 2010 года в тыс</w:t>
      </w:r>
      <w:r w:rsidR="00A03300">
        <w:rPr>
          <w:b/>
          <w:bCs/>
        </w:rPr>
        <w:t>ячах</w:t>
      </w:r>
      <w:r w:rsidR="00335C26">
        <w:rPr>
          <w:b/>
          <w:bCs/>
        </w:rPr>
        <w:t xml:space="preserve"> </w:t>
      </w:r>
    </w:p>
    <w:p w:rsidR="009A65CC" w:rsidRPr="00335C26" w:rsidRDefault="009A65CC" w:rsidP="00335C26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(2 188 </w:t>
      </w:r>
      <w:r w:rsidRPr="00E328F8">
        <w:rPr>
          <w:rFonts w:eastAsiaTheme="minorEastAsia"/>
          <w:b/>
          <w:bCs/>
        </w:rPr>
        <w:t>9</w:t>
      </w:r>
      <w:r>
        <w:rPr>
          <w:b/>
          <w:bCs/>
        </w:rPr>
        <w:t xml:space="preserve">00 </w:t>
      </w:r>
      <w:r w:rsidRPr="00E328F8">
        <w:rPr>
          <w:rFonts w:eastAsiaTheme="minorEastAsia"/>
          <w:b/>
          <w:bCs/>
        </w:rPr>
        <w:t>чел.)</w:t>
      </w:r>
    </w:p>
    <w:p w:rsidR="00633C74" w:rsidRDefault="007D2564" w:rsidP="00633C74">
      <w:pPr>
        <w:spacing w:after="240"/>
        <w:jc w:val="both"/>
      </w:pPr>
      <w:r>
        <w:t>Практически в</w:t>
      </w:r>
      <w:r w:rsidR="00633C74">
        <w:t>о всех статистических данных представлена</w:t>
      </w:r>
      <w:r>
        <w:t xml:space="preserve"> информаци</w:t>
      </w:r>
      <w:r w:rsidR="00633C74">
        <w:t>я</w:t>
      </w:r>
      <w:r>
        <w:t xml:space="preserve"> о долях мужского населения по с</w:t>
      </w:r>
      <w:r w:rsidR="00BF217C">
        <w:t>ледующим возрастным показателям</w:t>
      </w:r>
    </w:p>
    <w:p w:rsidR="009A65CC" w:rsidRDefault="009A65CC" w:rsidP="00B41179">
      <w:pPr>
        <w:spacing w:after="240"/>
        <w:jc w:val="center"/>
      </w:pPr>
      <w:r w:rsidRPr="00E328F8">
        <w:rPr>
          <w:noProof/>
        </w:rPr>
        <w:drawing>
          <wp:inline distT="0" distB="0" distL="0" distR="0" wp14:anchorId="0B2986E6" wp14:editId="5328CB3E">
            <wp:extent cx="5504734" cy="471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60"/>
                    <a:stretch/>
                  </pic:blipFill>
                  <pic:spPr bwMode="auto">
                    <a:xfrm>
                      <a:off x="0" y="0"/>
                      <a:ext cx="5509679" cy="471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179" w:rsidRDefault="00B41179" w:rsidP="00633C74">
      <w:pPr>
        <w:jc w:val="center"/>
      </w:pPr>
    </w:p>
    <w:p w:rsidR="00B41179" w:rsidRDefault="00B41179" w:rsidP="00633C74">
      <w:pPr>
        <w:jc w:val="center"/>
      </w:pPr>
    </w:p>
    <w:p w:rsidR="00B41179" w:rsidRDefault="00B41179" w:rsidP="00633C74">
      <w:pPr>
        <w:jc w:val="center"/>
      </w:pPr>
    </w:p>
    <w:p w:rsidR="00B41179" w:rsidRDefault="00B41179" w:rsidP="00633C74">
      <w:pPr>
        <w:jc w:val="center"/>
      </w:pPr>
    </w:p>
    <w:p w:rsidR="00B41179" w:rsidRDefault="00B41179" w:rsidP="00633C74">
      <w:pPr>
        <w:jc w:val="center"/>
      </w:pPr>
    </w:p>
    <w:p w:rsidR="00B41179" w:rsidRDefault="00B41179" w:rsidP="00633C74">
      <w:pPr>
        <w:jc w:val="center"/>
      </w:pPr>
    </w:p>
    <w:p w:rsidR="00B41179" w:rsidRDefault="00B41179" w:rsidP="00633C74">
      <w:pPr>
        <w:jc w:val="center"/>
      </w:pPr>
    </w:p>
    <w:p w:rsidR="00B41179" w:rsidRDefault="00B41179" w:rsidP="00633C74">
      <w:pPr>
        <w:jc w:val="center"/>
      </w:pPr>
    </w:p>
    <w:p w:rsidR="00B41179" w:rsidRDefault="00B41179" w:rsidP="00633C74">
      <w:pPr>
        <w:jc w:val="center"/>
      </w:pPr>
    </w:p>
    <w:p w:rsidR="00335C26" w:rsidRDefault="00335C26" w:rsidP="007E591E"/>
    <w:p w:rsidR="00B41179" w:rsidRPr="00B41179" w:rsidRDefault="00B41179" w:rsidP="00B41179">
      <w:pPr>
        <w:spacing w:after="120" w:line="360" w:lineRule="auto"/>
        <w:rPr>
          <w:rStyle w:val="ws-project-info-description"/>
          <w:b/>
          <w:color w:val="2F5496" w:themeColor="accent5" w:themeShade="BF"/>
        </w:rPr>
      </w:pPr>
      <w:r w:rsidRPr="00B41179">
        <w:rPr>
          <w:rStyle w:val="ws-project-info-description"/>
          <w:b/>
          <w:color w:val="2F5496" w:themeColor="accent5" w:themeShade="BF"/>
        </w:rPr>
        <w:t xml:space="preserve">2. Уровень занятости </w:t>
      </w:r>
      <w:r w:rsidR="00773E5F">
        <w:rPr>
          <w:rStyle w:val="ws-project-info-description"/>
          <w:b/>
          <w:color w:val="2F5496" w:themeColor="accent5" w:themeShade="BF"/>
        </w:rPr>
        <w:t>и нетрудоспособности населения</w:t>
      </w:r>
    </w:p>
    <w:p w:rsidR="00B41179" w:rsidRPr="00966E6B" w:rsidRDefault="00B41179" w:rsidP="00B41179">
      <w:pPr>
        <w:spacing w:after="120"/>
        <w:rPr>
          <w:rStyle w:val="ws-project-info-description"/>
          <w:b/>
          <w:color w:val="000000" w:themeColor="text1"/>
        </w:rPr>
      </w:pPr>
      <w:r w:rsidRPr="00966E6B">
        <w:rPr>
          <w:rStyle w:val="ws-project-info-description"/>
          <w:b/>
          <w:color w:val="000000" w:themeColor="text1"/>
        </w:rPr>
        <w:t>Экономически активные (тыс. человек на 2015 г.)</w:t>
      </w:r>
    </w:p>
    <w:p w:rsidR="00B41179" w:rsidRDefault="00B41179" w:rsidP="00335C26">
      <w:pPr>
        <w:spacing w:after="120"/>
        <w:rPr>
          <w:rStyle w:val="ws-project-info-description"/>
          <w:color w:val="000000" w:themeColor="text1"/>
        </w:rPr>
      </w:pPr>
      <w:r>
        <w:rPr>
          <w:rStyle w:val="ws-project-info-description"/>
          <w:color w:val="000000" w:themeColor="text1"/>
        </w:rPr>
        <w:t>Общая ч</w:t>
      </w:r>
      <w:r w:rsidRPr="00187CD6">
        <w:rPr>
          <w:rStyle w:val="ws-project-info-description"/>
          <w:color w:val="000000" w:themeColor="text1"/>
        </w:rPr>
        <w:t>исленность экономически активного населения</w:t>
      </w:r>
      <w:r>
        <w:rPr>
          <w:rStyle w:val="ws-project-info-description"/>
          <w:color w:val="000000" w:themeColor="text1"/>
        </w:rPr>
        <w:t xml:space="preserve"> – 2 967 200 человек. </w:t>
      </w:r>
    </w:p>
    <w:p w:rsidR="00B41179" w:rsidRDefault="00B41179" w:rsidP="00B41179">
      <w:pPr>
        <w:spacing w:line="276" w:lineRule="auto"/>
        <w:rPr>
          <w:rStyle w:val="ws-project-info-description"/>
          <w:color w:val="000000" w:themeColor="text1"/>
        </w:rPr>
      </w:pPr>
      <w:r w:rsidRPr="00966E6B">
        <w:rPr>
          <w:rStyle w:val="ws-project-info-description"/>
          <w:b/>
          <w:color w:val="000000" w:themeColor="text1"/>
        </w:rPr>
        <w:t>Мужчины -</w:t>
      </w:r>
      <w:r>
        <w:rPr>
          <w:rStyle w:val="ws-project-info-description"/>
          <w:color w:val="000000" w:themeColor="text1"/>
        </w:rPr>
        <w:t xml:space="preserve"> </w:t>
      </w:r>
      <w:r w:rsidRPr="00966E6B">
        <w:rPr>
          <w:rStyle w:val="ws-project-info-description"/>
          <w:b/>
          <w:color w:val="000000" w:themeColor="text1"/>
        </w:rPr>
        <w:t>1 496 400 человек</w:t>
      </w:r>
      <w:r>
        <w:rPr>
          <w:rStyle w:val="ws-project-info-description"/>
          <w:color w:val="000000" w:themeColor="text1"/>
        </w:rPr>
        <w:t xml:space="preserve"> (50,4%).</w:t>
      </w:r>
    </w:p>
    <w:p w:rsidR="00B41179" w:rsidRDefault="00B41179" w:rsidP="00B41179">
      <w:pPr>
        <w:spacing w:line="276" w:lineRule="auto"/>
        <w:rPr>
          <w:rStyle w:val="ws-project-info-description"/>
          <w:color w:val="000000" w:themeColor="text1"/>
        </w:rPr>
      </w:pPr>
      <w:r>
        <w:rPr>
          <w:rStyle w:val="ws-project-info-description"/>
          <w:color w:val="000000" w:themeColor="text1"/>
        </w:rPr>
        <w:t>Занятые в экономике – 1 457 700 чел.</w:t>
      </w:r>
    </w:p>
    <w:p w:rsidR="00A03300" w:rsidRPr="00B41179" w:rsidRDefault="00B41179" w:rsidP="00B41179">
      <w:pPr>
        <w:spacing w:after="240" w:line="276" w:lineRule="auto"/>
        <w:rPr>
          <w:color w:val="000000" w:themeColor="text1"/>
        </w:rPr>
      </w:pPr>
      <w:r>
        <w:rPr>
          <w:rStyle w:val="ws-project-info-description"/>
          <w:color w:val="000000" w:themeColor="text1"/>
        </w:rPr>
        <w:t>Безработные – 38 700 чел.</w:t>
      </w:r>
      <w:bookmarkStart w:id="0" w:name="_Toc312318497"/>
    </w:p>
    <w:p w:rsidR="00966E6B" w:rsidRPr="00B851A1" w:rsidRDefault="00966E6B" w:rsidP="00633C74">
      <w:pPr>
        <w:pStyle w:val="3"/>
        <w:jc w:val="center"/>
      </w:pPr>
      <w:r>
        <w:t>Численность мужчин трудоспособного возраста (на начало года), тыс. чел.</w:t>
      </w:r>
      <w:bookmarkEnd w:id="0"/>
    </w:p>
    <w:p w:rsidR="00966E6B" w:rsidRDefault="00966E6B" w:rsidP="00966E6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9445" cy="441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6B" w:rsidRDefault="00966E6B" w:rsidP="00966E6B">
      <w:pPr>
        <w:rPr>
          <w:sz w:val="28"/>
          <w:szCs w:val="28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082"/>
        <w:gridCol w:w="902"/>
        <w:gridCol w:w="901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66E6B" w:rsidTr="00966E6B"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6E6B" w:rsidRDefault="00966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6E6B" w:rsidRDefault="00966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E6B" w:rsidRDefault="00966E6B">
            <w:pPr>
              <w:ind w:left="152" w:hanging="1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E6B" w:rsidRDefault="00966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E6B" w:rsidRDefault="00966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</w:tr>
      <w:tr w:rsidR="00966E6B" w:rsidTr="00966E6B">
        <w:trPr>
          <w:trHeight w:val="796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6B" w:rsidRDefault="00966E6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6B" w:rsidRDefault="00966E6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6E6B" w:rsidRDefault="00966E6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6E6B" w:rsidRDefault="00966E6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E6B" w:rsidTr="00966E6B">
        <w:trPr>
          <w:cantSplit/>
          <w:trHeight w:val="113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6E6B" w:rsidRDefault="0096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мужчин трудоспособного возраста (на начало года)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6E6B" w:rsidRDefault="0096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6E6B" w:rsidRDefault="0096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1 497,99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6E6B" w:rsidRDefault="0096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1 484,08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1 473,56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1 465,17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1 453,78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1 442,53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1 413,25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1 405,89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66E6B" w:rsidRDefault="0096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1 395,30</w:t>
            </w:r>
          </w:p>
        </w:tc>
      </w:tr>
    </w:tbl>
    <w:p w:rsidR="00966E6B" w:rsidRPr="00187CD6" w:rsidRDefault="00966E6B">
      <w:pPr>
        <w:rPr>
          <w:rStyle w:val="ws-project-info-description"/>
          <w:color w:val="000000" w:themeColor="text1"/>
        </w:rPr>
      </w:pPr>
    </w:p>
    <w:p w:rsidR="0022636F" w:rsidRDefault="00966E6B">
      <w:pPr>
        <w:rPr>
          <w:rStyle w:val="ws-project-info-description"/>
          <w:b/>
        </w:rPr>
      </w:pPr>
      <w:r w:rsidRPr="00966E6B">
        <w:rPr>
          <w:rStyle w:val="ws-project-info-description"/>
        </w:rPr>
        <w:t xml:space="preserve">Численность мужчин трудоспособного возраста </w:t>
      </w:r>
      <w:r w:rsidRPr="009B1CA2">
        <w:rPr>
          <w:rStyle w:val="ws-project-info-description"/>
          <w:b/>
        </w:rPr>
        <w:t>(на начало 2017 г.)</w:t>
      </w:r>
      <w:r w:rsidRPr="00966E6B">
        <w:rPr>
          <w:rStyle w:val="ws-project-info-description"/>
        </w:rPr>
        <w:t xml:space="preserve"> –</w:t>
      </w:r>
      <w:r w:rsidRPr="00966E6B">
        <w:rPr>
          <w:rStyle w:val="ws-project-info-description"/>
          <w:b/>
        </w:rPr>
        <w:t xml:space="preserve"> 1 432 170 чел.</w:t>
      </w:r>
    </w:p>
    <w:p w:rsidR="00E328F8" w:rsidRDefault="00E328F8"/>
    <w:p w:rsidR="00DA3410" w:rsidRPr="00DA3410" w:rsidRDefault="009B1CA2" w:rsidP="00DA3410">
      <w:pPr>
        <w:pStyle w:val="3"/>
        <w:jc w:val="center"/>
      </w:pPr>
      <w:bookmarkStart w:id="1" w:name="_Toc312318502"/>
      <w:r>
        <w:lastRenderedPageBreak/>
        <w:t>Численность мужчин старше трудоспособного возраста (на начало года), тыс. чел.</w:t>
      </w:r>
      <w:bookmarkEnd w:id="1"/>
    </w:p>
    <w:p w:rsidR="009B1CA2" w:rsidRDefault="009B1CA2" w:rsidP="009B1CA2">
      <w:pPr>
        <w:widowControl w:val="0"/>
        <w:autoSpaceDE w:val="0"/>
        <w:autoSpaceDN w:val="0"/>
        <w:adjustRightInd w:val="0"/>
        <w:spacing w:before="20" w:after="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9445" cy="4416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A2" w:rsidRDefault="009B1CA2" w:rsidP="009B1CA2">
      <w:pPr>
        <w:widowControl w:val="0"/>
        <w:autoSpaceDE w:val="0"/>
        <w:autoSpaceDN w:val="0"/>
        <w:adjustRightInd w:val="0"/>
        <w:spacing w:before="20" w:after="20"/>
        <w:rPr>
          <w:sz w:val="28"/>
          <w:szCs w:val="28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082"/>
        <w:gridCol w:w="902"/>
        <w:gridCol w:w="901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B1CA2" w:rsidTr="009B1CA2"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1CA2" w:rsidRDefault="009B1C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1CA2" w:rsidRDefault="009B1C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1CA2" w:rsidRDefault="009B1CA2">
            <w:pPr>
              <w:ind w:left="152" w:hanging="1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1CA2" w:rsidRDefault="009B1C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1CA2" w:rsidRDefault="009B1C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</w:tr>
      <w:tr w:rsidR="009B1CA2" w:rsidTr="009B1CA2">
        <w:trPr>
          <w:trHeight w:val="796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A2" w:rsidRDefault="009B1CA2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A2" w:rsidRDefault="009B1CA2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1CA2" w:rsidRDefault="009B1CA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1CA2" w:rsidRDefault="009B1CA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B1CA2" w:rsidTr="009B1CA2">
        <w:trPr>
          <w:cantSplit/>
          <w:trHeight w:val="113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1CA2" w:rsidRDefault="009B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мужчин старше трудоспособного возраста (на начало года)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1CA2" w:rsidRDefault="009B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1CA2" w:rsidRDefault="009B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1CA2" w:rsidRDefault="009B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359,31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413,62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424,82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448,89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B1CA2" w:rsidRDefault="009B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475,91</w:t>
            </w:r>
          </w:p>
        </w:tc>
      </w:tr>
    </w:tbl>
    <w:p w:rsidR="009B1CA2" w:rsidRDefault="009B1CA2"/>
    <w:p w:rsidR="009B1CA2" w:rsidRDefault="009B1CA2" w:rsidP="009B1CA2">
      <w:pPr>
        <w:rPr>
          <w:rStyle w:val="ws-project-info-description"/>
          <w:b/>
        </w:rPr>
      </w:pPr>
      <w:r w:rsidRPr="00966E6B">
        <w:rPr>
          <w:rStyle w:val="ws-project-info-description"/>
        </w:rPr>
        <w:t xml:space="preserve">Численность мужчин </w:t>
      </w:r>
      <w:r>
        <w:rPr>
          <w:rStyle w:val="ws-project-info-description"/>
        </w:rPr>
        <w:t xml:space="preserve">старше </w:t>
      </w:r>
      <w:r w:rsidRPr="00966E6B">
        <w:rPr>
          <w:rStyle w:val="ws-project-info-description"/>
        </w:rPr>
        <w:t xml:space="preserve">трудоспособного возраста </w:t>
      </w:r>
      <w:r w:rsidRPr="009B1CA2">
        <w:rPr>
          <w:rStyle w:val="ws-project-info-description"/>
          <w:b/>
        </w:rPr>
        <w:t>(на начало 2017 г.)</w:t>
      </w:r>
      <w:r w:rsidRPr="00966E6B">
        <w:rPr>
          <w:rStyle w:val="ws-project-info-description"/>
        </w:rPr>
        <w:t xml:space="preserve"> –</w:t>
      </w:r>
      <w:r w:rsidRPr="00966E6B">
        <w:rPr>
          <w:rStyle w:val="ws-project-info-description"/>
          <w:b/>
        </w:rPr>
        <w:t xml:space="preserve"> </w:t>
      </w:r>
      <w:r>
        <w:rPr>
          <w:rStyle w:val="ws-project-info-description"/>
          <w:b/>
        </w:rPr>
        <w:t>424 820</w:t>
      </w:r>
      <w:r w:rsidRPr="00966E6B">
        <w:rPr>
          <w:rStyle w:val="ws-project-info-description"/>
          <w:b/>
        </w:rPr>
        <w:t xml:space="preserve"> чел.</w:t>
      </w:r>
    </w:p>
    <w:p w:rsidR="009B1CA2" w:rsidRDefault="009B1CA2"/>
    <w:p w:rsidR="009B1CA2" w:rsidRDefault="009B1CA2"/>
    <w:p w:rsidR="009B1CA2" w:rsidRDefault="009B1CA2">
      <w:bookmarkStart w:id="2" w:name="_GoBack"/>
      <w:bookmarkEnd w:id="2"/>
    </w:p>
    <w:p w:rsidR="009B1CA2" w:rsidRDefault="009B1CA2"/>
    <w:p w:rsidR="009B1CA2" w:rsidRDefault="009B1CA2"/>
    <w:p w:rsidR="009B1CA2" w:rsidRDefault="009B1CA2"/>
    <w:p w:rsidR="009B1CA2" w:rsidRDefault="009B1CA2"/>
    <w:p w:rsidR="009B1CA2" w:rsidRDefault="009B1CA2"/>
    <w:p w:rsidR="009B1CA2" w:rsidRDefault="009B1CA2"/>
    <w:p w:rsidR="009B1CA2" w:rsidRDefault="009B1CA2"/>
    <w:p w:rsidR="009B1CA2" w:rsidRDefault="009B1CA2"/>
    <w:p w:rsidR="009B1CA2" w:rsidRDefault="009B1CA2"/>
    <w:p w:rsidR="00BA58E3" w:rsidRDefault="00BA58E3" w:rsidP="00DA3410">
      <w:pPr>
        <w:spacing w:after="240" w:line="276" w:lineRule="auto"/>
        <w:ind w:firstLine="284"/>
        <w:jc w:val="both"/>
      </w:pPr>
    </w:p>
    <w:p w:rsidR="00773E5F" w:rsidRPr="00773E5F" w:rsidRDefault="00773E5F" w:rsidP="00E46B2A">
      <w:pPr>
        <w:spacing w:after="120"/>
        <w:jc w:val="both"/>
        <w:rPr>
          <w:rStyle w:val="ws-project-info-description"/>
          <w:b/>
          <w:color w:val="2F5496" w:themeColor="accent5" w:themeShade="BF"/>
        </w:rPr>
      </w:pPr>
      <w:r w:rsidRPr="00773E5F">
        <w:rPr>
          <w:rStyle w:val="ws-project-info-description"/>
          <w:b/>
          <w:color w:val="2F5496" w:themeColor="accent5" w:themeShade="BF"/>
        </w:rPr>
        <w:lastRenderedPageBreak/>
        <w:t>3. Уровень дохода. Какую долю составляют люди со средним уровнем дохода и высоким достатком. Данные могут быть взяты из опросов, официальных данных органов государственной статистики и других</w:t>
      </w:r>
    </w:p>
    <w:p w:rsidR="00F91210" w:rsidRDefault="00750E07" w:rsidP="00E46B2A">
      <w:pPr>
        <w:spacing w:after="240" w:line="276" w:lineRule="auto"/>
        <w:ind w:firstLine="284"/>
        <w:jc w:val="both"/>
      </w:pPr>
      <w:r>
        <w:t xml:space="preserve">В Санкт-Петербурге тысячи мужчин и женщин во многих отраслях занимают одинаковые должности, выполняя аналогичные профессиональные обязанности, поэтому статистика по уровню дохода будет представлена по общим показателям дохода </w:t>
      </w:r>
      <w:r w:rsidR="002736E5">
        <w:t>населения</w:t>
      </w:r>
      <w:r>
        <w:t xml:space="preserve">. </w:t>
      </w:r>
      <w:r w:rsidR="00DA3410">
        <w:t xml:space="preserve">Учитывая, что </w:t>
      </w:r>
      <w:r w:rsidR="004D5B47">
        <w:t>проверенными</w:t>
      </w:r>
      <w:r w:rsidR="00F91210">
        <w:t xml:space="preserve"> статистическими </w:t>
      </w:r>
      <w:r w:rsidR="004D5B47">
        <w:t>источниками отдельная информация об уровне дохода мужских долей населения не предоставляется,</w:t>
      </w:r>
      <w:r w:rsidR="00DA3410">
        <w:t xml:space="preserve"> </w:t>
      </w:r>
      <w:r w:rsidR="004D5B47">
        <w:t>логичнее будет брать в расчет именно общие показатели дохода населения Санкт-Петербурга</w:t>
      </w:r>
      <w:r w:rsidR="001E3172">
        <w:t>, а также по видам экономической деятельности</w:t>
      </w:r>
      <w:r w:rsidR="004D5B47">
        <w:t>.</w:t>
      </w:r>
    </w:p>
    <w:p w:rsidR="00F91210" w:rsidRPr="00F91210" w:rsidRDefault="00F91210" w:rsidP="00DA3410">
      <w:pPr>
        <w:spacing w:after="120" w:line="276" w:lineRule="auto"/>
        <w:ind w:firstLine="284"/>
        <w:jc w:val="both"/>
        <w:rPr>
          <w:b/>
        </w:rPr>
      </w:pPr>
      <w:r w:rsidRPr="00F91210">
        <w:rPr>
          <w:b/>
        </w:rPr>
        <w:t>Общие данные Санкт-Петербурга в 2017 году</w:t>
      </w:r>
    </w:p>
    <w:p w:rsidR="00F91210" w:rsidRDefault="00F91210" w:rsidP="00DA3410">
      <w:pPr>
        <w:spacing w:after="240" w:line="276" w:lineRule="auto"/>
        <w:ind w:firstLine="284"/>
        <w:jc w:val="both"/>
      </w:pPr>
      <w:r>
        <w:t>Согласно Росстату и данным, полученным из интернет-опросов, средний уровень дохода жителей северной столицы России в 2016</w:t>
      </w:r>
      <w:r w:rsidR="00BF217C">
        <w:t xml:space="preserve"> </w:t>
      </w:r>
      <w:r>
        <w:t>году менялся следующим образом: в январе и феврале величина средней заработной платы по городу Санкт-Петербургу достигала 31 тысячи. С марта этот показатель вырос на две тысячи, к апрелю 2016 года увеличился еще на одну тысячу, а к концу 2016 года достиг</w:t>
      </w:r>
      <w:r w:rsidR="00E46B2A">
        <w:t xml:space="preserve"> </w:t>
      </w:r>
      <w:r>
        <w:t>сумм</w:t>
      </w:r>
      <w:r w:rsidR="00DA3410">
        <w:t>ы в 38 329 российских дензнаков</w:t>
      </w:r>
      <w:r>
        <w:t>.</w:t>
      </w:r>
    </w:p>
    <w:p w:rsidR="00DA3410" w:rsidRPr="00DA3410" w:rsidRDefault="00DA3410" w:rsidP="00AA4CA3">
      <w:pPr>
        <w:spacing w:after="120" w:line="276" w:lineRule="auto"/>
        <w:ind w:firstLine="284"/>
        <w:jc w:val="both"/>
        <w:rPr>
          <w:b/>
        </w:rPr>
      </w:pPr>
      <w:r w:rsidRPr="00DA3410">
        <w:rPr>
          <w:b/>
        </w:rPr>
        <w:t>Анализ среднего уровня доходов жителей Санкт-Петербурга по отраслям</w:t>
      </w:r>
    </w:p>
    <w:p w:rsidR="00DA3410" w:rsidRDefault="00DA3410" w:rsidP="00AA4CA3">
      <w:pPr>
        <w:spacing w:after="120" w:line="276" w:lineRule="auto"/>
        <w:ind w:firstLine="284"/>
        <w:jc w:val="both"/>
      </w:pPr>
      <w:r>
        <w:t>Охрана, сфера безопасности: сторожа, охранники, вахтеры – от пяти до тринадцати тысяч.</w:t>
      </w:r>
    </w:p>
    <w:p w:rsidR="00DA3410" w:rsidRDefault="00DA3410" w:rsidP="00DA3410">
      <w:pPr>
        <w:spacing w:line="276" w:lineRule="auto"/>
        <w:ind w:firstLine="284"/>
        <w:jc w:val="both"/>
      </w:pPr>
      <w:r>
        <w:t>Строительные специальности:</w:t>
      </w:r>
    </w:p>
    <w:p w:rsidR="00DA3410" w:rsidRDefault="00DA3410" w:rsidP="00DA3410">
      <w:pPr>
        <w:spacing w:line="276" w:lineRule="auto"/>
        <w:jc w:val="both"/>
      </w:pPr>
      <w:r>
        <w:t>- сварщики – от тридцати до пятидесяти тысяч российских дензнаков. Сантехники – от девятнадцати до 25 тысяч;</w:t>
      </w:r>
    </w:p>
    <w:p w:rsidR="00DA3410" w:rsidRDefault="00DA3410" w:rsidP="00AA4CA3">
      <w:pPr>
        <w:spacing w:after="240" w:line="276" w:lineRule="auto"/>
        <w:jc w:val="both"/>
      </w:pPr>
      <w:r>
        <w:t>- электромонтеры – от двадцати до тридцати шести тысяч российских дензнаков. Слесари – от двадцати двух до двадцати восьми тысяч.</w:t>
      </w:r>
    </w:p>
    <w:p w:rsidR="00DA3410" w:rsidRDefault="00DA3410" w:rsidP="00AA4CA3">
      <w:pPr>
        <w:spacing w:after="240" w:line="276" w:lineRule="auto"/>
        <w:ind w:firstLine="284"/>
        <w:jc w:val="both"/>
      </w:pPr>
      <w:r>
        <w:t>Представители рабочих специальностей (каменщики, разнорабочие, маляры) – от тридцати одной тысячи. Точнее определить показатель среднего уровня ежемесячного дохода у представителей данных профессий довольно сложно, потому что согласно опросам работники строительной сферы нередко имеют до</w:t>
      </w:r>
      <w:r w:rsidR="00AA4CA3">
        <w:t>полнительные источники доходов.</w:t>
      </w:r>
    </w:p>
    <w:p w:rsidR="00DA3410" w:rsidRDefault="00AA4CA3" w:rsidP="00AA4CA3">
      <w:pPr>
        <w:spacing w:line="276" w:lineRule="auto"/>
        <w:ind w:firstLine="284"/>
        <w:jc w:val="both"/>
      </w:pPr>
      <w:r>
        <w:t>Логистика и транспорт:</w:t>
      </w:r>
    </w:p>
    <w:p w:rsidR="00DA3410" w:rsidRDefault="00AA4CA3" w:rsidP="00AA4CA3">
      <w:pPr>
        <w:spacing w:line="276" w:lineRule="auto"/>
        <w:jc w:val="both"/>
      </w:pPr>
      <w:r>
        <w:t xml:space="preserve">- </w:t>
      </w:r>
      <w:r w:rsidR="00DA3410">
        <w:t>водители общественного транспорта – от двадцати пяти до двадцати семи тысяч;</w:t>
      </w:r>
    </w:p>
    <w:p w:rsidR="00DA3410" w:rsidRDefault="00AA4CA3" w:rsidP="00AA4CA3">
      <w:pPr>
        <w:spacing w:line="276" w:lineRule="auto"/>
        <w:jc w:val="both"/>
      </w:pPr>
      <w:r>
        <w:t xml:space="preserve">- </w:t>
      </w:r>
      <w:r w:rsidR="00DA3410">
        <w:t>водители и диспетчера такси – от двадцати семи тысяч;</w:t>
      </w:r>
    </w:p>
    <w:p w:rsidR="00DA3410" w:rsidRDefault="00AA4CA3" w:rsidP="00AA4CA3">
      <w:pPr>
        <w:spacing w:line="276" w:lineRule="auto"/>
        <w:jc w:val="both"/>
      </w:pPr>
      <w:r>
        <w:t xml:space="preserve">- </w:t>
      </w:r>
      <w:r w:rsidR="00DA3410">
        <w:t>логисты – до сорока пяти тысяч.</w:t>
      </w:r>
    </w:p>
    <w:p w:rsidR="00DA3410" w:rsidRDefault="00AA4CA3" w:rsidP="00BA58E3">
      <w:pPr>
        <w:spacing w:after="240" w:line="276" w:lineRule="auto"/>
        <w:jc w:val="both"/>
      </w:pPr>
      <w:r>
        <w:t xml:space="preserve">- </w:t>
      </w:r>
      <w:r w:rsidR="00DA3410">
        <w:t>железнодорожные диспетчера – от двадцати девяти до сорока тысяч.</w:t>
      </w:r>
    </w:p>
    <w:p w:rsidR="00DA3410" w:rsidRDefault="00AA4CA3" w:rsidP="00AA4CA3">
      <w:pPr>
        <w:spacing w:line="276" w:lineRule="auto"/>
        <w:ind w:firstLine="284"/>
        <w:jc w:val="both"/>
      </w:pPr>
      <w:r>
        <w:t>Офисные работники:</w:t>
      </w:r>
    </w:p>
    <w:p w:rsidR="00DA3410" w:rsidRDefault="00AA4CA3" w:rsidP="00AA4CA3">
      <w:pPr>
        <w:spacing w:line="276" w:lineRule="auto"/>
        <w:jc w:val="both"/>
      </w:pPr>
      <w:r>
        <w:t xml:space="preserve">- </w:t>
      </w:r>
      <w:r w:rsidR="00DA3410">
        <w:t>операторы ПК и операторы связи – двенадцать тыс.;</w:t>
      </w:r>
    </w:p>
    <w:p w:rsidR="00DA3410" w:rsidRDefault="00AA4CA3" w:rsidP="00AA4CA3">
      <w:pPr>
        <w:spacing w:line="276" w:lineRule="auto"/>
        <w:jc w:val="both"/>
      </w:pPr>
      <w:r>
        <w:t xml:space="preserve">- </w:t>
      </w:r>
      <w:r w:rsidR="00DA3410">
        <w:t>администраторы – от двенадцати до пятнадцати тыс.;</w:t>
      </w:r>
    </w:p>
    <w:p w:rsidR="00DA3410" w:rsidRDefault="00AA4CA3" w:rsidP="00AA4CA3">
      <w:pPr>
        <w:spacing w:line="276" w:lineRule="auto"/>
        <w:jc w:val="both"/>
      </w:pPr>
      <w:r>
        <w:t xml:space="preserve">- </w:t>
      </w:r>
      <w:r w:rsidR="00DA3410">
        <w:t>секретари – от пятнадцати до девятнадцати тысяч рублей;</w:t>
      </w:r>
    </w:p>
    <w:p w:rsidR="00DA3410" w:rsidRDefault="00AA4CA3" w:rsidP="00AA4CA3">
      <w:pPr>
        <w:spacing w:line="276" w:lineRule="auto"/>
        <w:jc w:val="both"/>
      </w:pPr>
      <w:r>
        <w:t xml:space="preserve">- </w:t>
      </w:r>
      <w:r w:rsidR="00DA3410">
        <w:t>менеджеры различных направлений – от двадцати восьми тыс. Маркетологи – от пятидесяти тысяч;</w:t>
      </w:r>
    </w:p>
    <w:p w:rsidR="00AA4CA3" w:rsidRDefault="00AA4CA3" w:rsidP="00BA58E3">
      <w:pPr>
        <w:spacing w:line="276" w:lineRule="auto"/>
        <w:jc w:val="both"/>
      </w:pPr>
      <w:r>
        <w:t xml:space="preserve">- </w:t>
      </w:r>
      <w:r w:rsidR="00DA3410">
        <w:t>бухгалтеры – от шестидесяти тыс.</w:t>
      </w:r>
    </w:p>
    <w:p w:rsidR="00DA3410" w:rsidRDefault="00AA4CA3" w:rsidP="00AA4CA3">
      <w:pPr>
        <w:spacing w:line="276" w:lineRule="auto"/>
        <w:ind w:firstLine="284"/>
        <w:jc w:val="both"/>
      </w:pPr>
      <w:r>
        <w:lastRenderedPageBreak/>
        <w:t>Специалисты:</w:t>
      </w:r>
    </w:p>
    <w:p w:rsidR="00DA3410" w:rsidRDefault="00AA4CA3" w:rsidP="00AA4CA3">
      <w:pPr>
        <w:spacing w:line="276" w:lineRule="auto"/>
        <w:jc w:val="both"/>
      </w:pPr>
      <w:r>
        <w:t xml:space="preserve">- </w:t>
      </w:r>
      <w:r w:rsidR="00DA3410">
        <w:t>инженеры – от двадцати трех тысяч до тридцати пяти российских дензнаков;</w:t>
      </w:r>
    </w:p>
    <w:p w:rsidR="00DA3410" w:rsidRDefault="00AA4CA3" w:rsidP="00AA4CA3">
      <w:pPr>
        <w:spacing w:line="276" w:lineRule="auto"/>
        <w:jc w:val="both"/>
      </w:pPr>
      <w:r>
        <w:t xml:space="preserve">- </w:t>
      </w:r>
      <w:r w:rsidR="00DA3410">
        <w:t>сметчики – до тридцати пяти тысяч;</w:t>
      </w:r>
    </w:p>
    <w:p w:rsidR="00DA3410" w:rsidRDefault="00AA4CA3" w:rsidP="00AA4CA3">
      <w:pPr>
        <w:spacing w:line="276" w:lineRule="auto"/>
        <w:jc w:val="both"/>
      </w:pPr>
      <w:r>
        <w:t xml:space="preserve">- </w:t>
      </w:r>
      <w:r w:rsidR="00DA3410">
        <w:t>станочники – до тридцати тысяч;</w:t>
      </w:r>
    </w:p>
    <w:p w:rsidR="00DA3410" w:rsidRDefault="00AA4CA3" w:rsidP="00AA4CA3">
      <w:pPr>
        <w:spacing w:line="276" w:lineRule="auto"/>
        <w:jc w:val="both"/>
      </w:pPr>
      <w:r>
        <w:t xml:space="preserve">- </w:t>
      </w:r>
      <w:r w:rsidR="00DA3410">
        <w:t>техники – до сорока тысяч;</w:t>
      </w:r>
    </w:p>
    <w:p w:rsidR="004D5B47" w:rsidRDefault="00AA4CA3" w:rsidP="00332546">
      <w:pPr>
        <w:spacing w:after="240" w:line="360" w:lineRule="auto"/>
        <w:jc w:val="both"/>
      </w:pPr>
      <w:r>
        <w:t xml:space="preserve">- </w:t>
      </w:r>
      <w:r w:rsidR="00DA3410">
        <w:t>судоводители – сто пятьдесят тысяч.</w:t>
      </w:r>
    </w:p>
    <w:p w:rsidR="00332546" w:rsidRPr="00332546" w:rsidRDefault="00332546" w:rsidP="001E5347">
      <w:pPr>
        <w:spacing w:line="276" w:lineRule="auto"/>
        <w:jc w:val="both"/>
        <w:rPr>
          <w:b/>
        </w:rPr>
      </w:pPr>
      <w:r w:rsidRPr="00332546">
        <w:rPr>
          <w:b/>
        </w:rPr>
        <w:t>Среднемесячная начисляемая заработная плата по видам экономической деятельности, сентябрь 2013</w:t>
      </w:r>
    </w:p>
    <w:p w:rsidR="00F7661A" w:rsidRDefault="00826359" w:rsidP="00792808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788207" wp14:editId="542107BB">
            <wp:simplePos x="0" y="0"/>
            <wp:positionH relativeFrom="margin">
              <wp:posOffset>-913765</wp:posOffset>
            </wp:positionH>
            <wp:positionV relativeFrom="margin">
              <wp:posOffset>2173605</wp:posOffset>
            </wp:positionV>
            <wp:extent cx="3725545" cy="2357755"/>
            <wp:effectExtent l="0" t="0" r="8255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-01-29_23-03-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54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707">
        <w:rPr>
          <w:noProof/>
        </w:rPr>
        <w:drawing>
          <wp:anchor distT="0" distB="0" distL="114300" distR="114300" simplePos="0" relativeHeight="251659264" behindDoc="0" locked="0" layoutInCell="1" allowOverlap="1" wp14:anchorId="7F545488" wp14:editId="613BEC20">
            <wp:simplePos x="0" y="0"/>
            <wp:positionH relativeFrom="margin">
              <wp:posOffset>2879090</wp:posOffset>
            </wp:positionH>
            <wp:positionV relativeFrom="margin">
              <wp:posOffset>2046605</wp:posOffset>
            </wp:positionV>
            <wp:extent cx="3116580" cy="2536825"/>
            <wp:effectExtent l="19050" t="19050" r="26670" b="158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-01-30_01-40-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2536825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808" w:rsidRDefault="00792808" w:rsidP="00792808">
      <w:pPr>
        <w:spacing w:line="276" w:lineRule="auto"/>
        <w:jc w:val="both"/>
      </w:pPr>
    </w:p>
    <w:p w:rsidR="009909A7" w:rsidRDefault="00236F0C" w:rsidP="00DB5741">
      <w:pPr>
        <w:spacing w:line="276" w:lineRule="auto"/>
        <w:ind w:firstLine="28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74AA98" wp14:editId="53C1647B">
            <wp:simplePos x="0" y="0"/>
            <wp:positionH relativeFrom="margin">
              <wp:posOffset>-189865</wp:posOffset>
            </wp:positionH>
            <wp:positionV relativeFrom="margin">
              <wp:posOffset>5234305</wp:posOffset>
            </wp:positionV>
            <wp:extent cx="2671445" cy="1290320"/>
            <wp:effectExtent l="0" t="0" r="0" b="5080"/>
            <wp:wrapSquare wrapText="bothSides"/>
            <wp:docPr id="5" name="Рисунок 5" descr="C:\Users\User\Desktop\2017-01-29_23-47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01-29_23-47-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9A7">
        <w:t>В Санкт-Петербурге сохраняется высокий уровень расслоения населения по доходам.</w:t>
      </w:r>
      <w:r w:rsidR="009909A7">
        <w:br/>
        <w:t>В 2012г. по сравнению с предыдущим годом ситуация не изменилась: доходы 10% наиболее обеспеченного населения в 19,4 раза выше, чем доходы 10% наименее обеспеченного населения.</w:t>
      </w:r>
    </w:p>
    <w:p w:rsidR="004D5B47" w:rsidRDefault="009909A7" w:rsidP="00DB5741">
      <w:pPr>
        <w:spacing w:line="276" w:lineRule="auto"/>
        <w:ind w:firstLine="284"/>
        <w:jc w:val="both"/>
      </w:pPr>
      <w:r w:rsidRPr="009909A7">
        <w:t>На долю 20% самых обеспеченных петербур</w:t>
      </w:r>
      <w:r w:rsidR="00F7661A">
        <w:t xml:space="preserve">жцев приходится 49,5% суммарных </w:t>
      </w:r>
      <w:r w:rsidRPr="009909A7">
        <w:t>денежных доходов всего населения.</w:t>
      </w:r>
    </w:p>
    <w:p w:rsidR="004D5B47" w:rsidRDefault="004D5B47" w:rsidP="00750E07">
      <w:pPr>
        <w:jc w:val="both"/>
      </w:pPr>
    </w:p>
    <w:p w:rsidR="00876707" w:rsidRDefault="00876707" w:rsidP="00236F0C">
      <w:pPr>
        <w:jc w:val="center"/>
        <w:rPr>
          <w:b/>
        </w:rPr>
      </w:pPr>
    </w:p>
    <w:p w:rsidR="004D5B47" w:rsidRPr="00236F0C" w:rsidRDefault="00236F0C" w:rsidP="00876707">
      <w:pPr>
        <w:rPr>
          <w:b/>
        </w:rPr>
      </w:pPr>
      <w:r w:rsidRPr="00236F0C">
        <w:rPr>
          <w:b/>
        </w:rPr>
        <w:t>Ди</w:t>
      </w:r>
      <w:r>
        <w:rPr>
          <w:b/>
        </w:rPr>
        <w:t>намика зарплат по месяцам в 2015</w:t>
      </w:r>
      <w:r w:rsidRPr="00236F0C">
        <w:rPr>
          <w:b/>
        </w:rPr>
        <w:t xml:space="preserve"> году</w:t>
      </w:r>
    </w:p>
    <w:p w:rsidR="00BA58E3" w:rsidRDefault="00BA58E3" w:rsidP="00750E07">
      <w:pPr>
        <w:jc w:val="both"/>
      </w:pPr>
    </w:p>
    <w:p w:rsidR="00236F0C" w:rsidRDefault="00236F0C" w:rsidP="00236F0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11938" cy="22899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7-01-30_16-55-3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452" cy="231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CE" w:rsidRPr="004058CE" w:rsidRDefault="004058CE" w:rsidP="004058CE">
      <w:pPr>
        <w:jc w:val="center"/>
        <w:rPr>
          <w:b/>
        </w:rPr>
      </w:pPr>
      <w:r w:rsidRPr="004058CE">
        <w:rPr>
          <w:b/>
        </w:rPr>
        <w:lastRenderedPageBreak/>
        <w:t xml:space="preserve">Оценка петербуржцами уровня дохода семьи % от числа респондентов* </w:t>
      </w:r>
    </w:p>
    <w:p w:rsidR="004058CE" w:rsidRPr="004058CE" w:rsidRDefault="004058CE" w:rsidP="004058CE">
      <w:pPr>
        <w:jc w:val="center"/>
        <w:rPr>
          <w:b/>
        </w:rPr>
      </w:pPr>
      <w:r w:rsidRPr="004058CE">
        <w:rPr>
          <w:b/>
        </w:rPr>
        <w:t>(опросы населения города)</w:t>
      </w:r>
    </w:p>
    <w:p w:rsidR="004058CE" w:rsidRDefault="004058CE" w:rsidP="004058CE">
      <w:pPr>
        <w:jc w:val="right"/>
      </w:pPr>
    </w:p>
    <w:p w:rsidR="00AA4CA3" w:rsidRDefault="004058CE" w:rsidP="00236F0C">
      <w:pPr>
        <w:jc w:val="center"/>
      </w:pPr>
      <w:r>
        <w:rPr>
          <w:noProof/>
        </w:rPr>
        <w:drawing>
          <wp:inline distT="0" distB="0" distL="0" distR="0">
            <wp:extent cx="6491804" cy="3519577"/>
            <wp:effectExtent l="0" t="0" r="4445" b="5080"/>
            <wp:docPr id="6" name="Рисунок 6" descr="C:\Users\User\Desktop\2017-01-30_01-07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-01-30_01-07-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739" cy="35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CE" w:rsidRDefault="004058CE" w:rsidP="00750E07">
      <w:pPr>
        <w:jc w:val="both"/>
      </w:pPr>
    </w:p>
    <w:p w:rsidR="00076E80" w:rsidRDefault="00076E80" w:rsidP="00F7661A">
      <w:pPr>
        <w:spacing w:line="276" w:lineRule="auto"/>
        <w:ind w:firstLine="284"/>
        <w:jc w:val="both"/>
      </w:pPr>
      <w:r>
        <w:t>По данным очередного опроса населения Санкт-Петербурга, в июле 2013 г. доля малообеспеченных и бедных (у кого вызывает затруднения покупка одежды и продуктов питания) сократилась по сравнению с июлем 2012 г. и составила 17,8%.</w:t>
      </w:r>
      <w:r w:rsidR="00F7661A">
        <w:t xml:space="preserve"> </w:t>
      </w:r>
      <w:r>
        <w:t>Доля обеспеченных и богатых составила 43,2% (по сравнению с июлем 2012 г.</w:t>
      </w:r>
      <w:r w:rsidR="00D146DB">
        <w:t xml:space="preserve"> </w:t>
      </w:r>
      <w:r>
        <w:t>изменение статистически не значимо).</w:t>
      </w:r>
    </w:p>
    <w:p w:rsidR="00F7661A" w:rsidRDefault="00076E80" w:rsidP="00826359">
      <w:pPr>
        <w:spacing w:after="240" w:line="276" w:lineRule="auto"/>
        <w:ind w:firstLine="284"/>
        <w:jc w:val="both"/>
      </w:pPr>
      <w:r>
        <w:t>Сложившуюся ситуацию можно охарактеризовать как благополучную: доля малообеспеченных и бедных на протяжении 2013 г. остается на рекордно низком уровне.</w:t>
      </w:r>
    </w:p>
    <w:p w:rsidR="007D0BB1" w:rsidRPr="00826359" w:rsidRDefault="001246F3" w:rsidP="00826359">
      <w:pPr>
        <w:spacing w:after="240"/>
        <w:jc w:val="center"/>
        <w:rPr>
          <w:b/>
        </w:rPr>
      </w:pPr>
      <w:r w:rsidRPr="001246F3">
        <w:rPr>
          <w:b/>
        </w:rPr>
        <w:t xml:space="preserve">Денежные </w:t>
      </w:r>
      <w:r w:rsidRPr="00525A83">
        <w:rPr>
          <w:b/>
          <w:u w:val="single"/>
        </w:rPr>
        <w:t>расходы</w:t>
      </w:r>
      <w:r w:rsidRPr="001246F3">
        <w:rPr>
          <w:b/>
        </w:rPr>
        <w:t xml:space="preserve"> населения Санкт-Петербурга</w:t>
      </w:r>
      <w:r w:rsidR="00826359" w:rsidRPr="001246F3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C4C4EA4" wp14:editId="1671D627">
            <wp:simplePos x="0" y="0"/>
            <wp:positionH relativeFrom="margin">
              <wp:posOffset>-822960</wp:posOffset>
            </wp:positionH>
            <wp:positionV relativeFrom="margin">
              <wp:posOffset>6181090</wp:posOffset>
            </wp:positionV>
            <wp:extent cx="7028815" cy="2973705"/>
            <wp:effectExtent l="0" t="0" r="635" b="0"/>
            <wp:wrapSquare wrapText="bothSides"/>
            <wp:docPr id="9" name="Рисунок 9" descr="C:\Users\User\Desktop\2017-01-30_02-14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7-01-30_02-14-2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7EF" w:rsidRPr="00B327EF" w:rsidRDefault="00B327EF" w:rsidP="00B327EF">
      <w:pPr>
        <w:jc w:val="center"/>
        <w:rPr>
          <w:b/>
        </w:rPr>
      </w:pPr>
      <w:r w:rsidRPr="00B327EF">
        <w:rPr>
          <w:b/>
        </w:rPr>
        <w:lastRenderedPageBreak/>
        <w:t>Уровень средней заработной платы в Санкт-Петербурге за последние 12 месяцев</w:t>
      </w:r>
    </w:p>
    <w:p w:rsidR="00B327EF" w:rsidRDefault="00B327EF" w:rsidP="00750E07">
      <w:pPr>
        <w:jc w:val="both"/>
      </w:pPr>
    </w:p>
    <w:p w:rsidR="00B327EF" w:rsidRDefault="00B327EF" w:rsidP="00B327EF">
      <w:pPr>
        <w:jc w:val="center"/>
      </w:pPr>
      <w:r>
        <w:rPr>
          <w:noProof/>
        </w:rPr>
        <w:drawing>
          <wp:inline distT="0" distB="0" distL="0" distR="0">
            <wp:extent cx="5025225" cy="2770185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7-01-30_19-58-4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358" cy="277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7EF" w:rsidRDefault="00B327EF" w:rsidP="00750E07">
      <w:pPr>
        <w:jc w:val="both"/>
      </w:pPr>
    </w:p>
    <w:p w:rsidR="00AA4CA3" w:rsidRPr="00386D63" w:rsidRDefault="00525A83" w:rsidP="00236F0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42515" cy="2705100"/>
            <wp:effectExtent l="0" t="0" r="0" b="0"/>
            <wp:docPr id="10" name="Рисунок 10" descr="C:\Users\User\Desktop\2017-01-30_02-32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7-01-30_02-32-3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215" cy="271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83" w:rsidRDefault="00525A83" w:rsidP="00525A83"/>
    <w:p w:rsidR="00525A83" w:rsidRDefault="00525A83" w:rsidP="00750E07">
      <w:pPr>
        <w:jc w:val="both"/>
      </w:pPr>
    </w:p>
    <w:p w:rsidR="00094039" w:rsidRPr="00094039" w:rsidRDefault="00094039" w:rsidP="00094039">
      <w:pPr>
        <w:spacing w:after="240"/>
        <w:jc w:val="center"/>
        <w:rPr>
          <w:b/>
        </w:rPr>
      </w:pPr>
      <w:r w:rsidRPr="00094039">
        <w:rPr>
          <w:b/>
        </w:rPr>
        <w:t>Дифференциация населения по доходам</w:t>
      </w:r>
    </w:p>
    <w:p w:rsidR="00AA4CA3" w:rsidRDefault="00094039" w:rsidP="00094039">
      <w:pPr>
        <w:jc w:val="center"/>
      </w:pPr>
      <w:r>
        <w:rPr>
          <w:noProof/>
        </w:rPr>
        <w:drawing>
          <wp:inline distT="0" distB="0" distL="0" distR="0">
            <wp:extent cx="6494949" cy="2520564"/>
            <wp:effectExtent l="0" t="0" r="1270" b="0"/>
            <wp:docPr id="11" name="Рисунок 11" descr="C:\Users\User\YandexDisk\Скриншоты\2017-01-30_02-40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Скриншоты\2017-01-30_02-40-3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097" cy="253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DB" w:rsidRDefault="00D146DB" w:rsidP="00D146DB"/>
    <w:p w:rsidR="00335C26" w:rsidRDefault="00DF298E" w:rsidP="00826359">
      <w:pPr>
        <w:spacing w:after="240" w:line="48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6A2ECC66" wp14:editId="2064512E">
            <wp:extent cx="6394596" cy="2910177"/>
            <wp:effectExtent l="0" t="0" r="6350" b="5080"/>
            <wp:docPr id="17" name="Рисунок 17" descr="C:\Users\User\Desktop\2017-01-30_21-37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17-01-30_21-37-0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22" cy="291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47" w:rsidRDefault="001E5347" w:rsidP="001E5347">
      <w:pPr>
        <w:spacing w:after="240"/>
        <w:jc w:val="center"/>
        <w:rPr>
          <w:b/>
        </w:rPr>
      </w:pPr>
      <w:r w:rsidRPr="001E5347">
        <w:rPr>
          <w:b/>
        </w:rPr>
        <w:t>Рейтинг высокооплачиваемых профессий в Санкт-Петербурге</w:t>
      </w:r>
    </w:p>
    <w:p w:rsidR="001E5347" w:rsidRPr="001E5347" w:rsidRDefault="001E5347" w:rsidP="001E5347">
      <w:pPr>
        <w:spacing w:after="240"/>
        <w:jc w:val="both"/>
        <w:rPr>
          <w:sz w:val="22"/>
        </w:rPr>
      </w:pPr>
      <w:r w:rsidRPr="001E5347">
        <w:rPr>
          <w:sz w:val="22"/>
        </w:rPr>
        <w:t xml:space="preserve">Наиболее высокооплачиваемой профессией в Санкт-Петербурге является </w:t>
      </w:r>
      <w:proofErr w:type="spellStart"/>
      <w:r w:rsidRPr="001E5347">
        <w:rPr>
          <w:sz w:val="22"/>
        </w:rPr>
        <w:t>senior</w:t>
      </w:r>
      <w:proofErr w:type="spellEnd"/>
      <w:r w:rsidRPr="001E5347">
        <w:rPr>
          <w:sz w:val="22"/>
        </w:rPr>
        <w:t xml:space="preserve"> </w:t>
      </w:r>
      <w:proofErr w:type="spellStart"/>
      <w:r w:rsidRPr="001E5347">
        <w:rPr>
          <w:sz w:val="22"/>
        </w:rPr>
        <w:t>java</w:t>
      </w:r>
      <w:proofErr w:type="spellEnd"/>
      <w:r w:rsidRPr="001E5347">
        <w:rPr>
          <w:sz w:val="22"/>
        </w:rPr>
        <w:t xml:space="preserve"> </w:t>
      </w:r>
      <w:proofErr w:type="spellStart"/>
      <w:r w:rsidRPr="001E5347">
        <w:rPr>
          <w:sz w:val="22"/>
        </w:rPr>
        <w:t>developer</w:t>
      </w:r>
      <w:proofErr w:type="spellEnd"/>
      <w:r w:rsidRPr="001E5347">
        <w:rPr>
          <w:sz w:val="22"/>
        </w:rPr>
        <w:t xml:space="preserve">. По данным нашего сайта, уровень средней зарплаты составляет 166667 руб. На втором месте - Сварщик </w:t>
      </w:r>
      <w:proofErr w:type="spellStart"/>
      <w:r w:rsidRPr="001E5347">
        <w:rPr>
          <w:sz w:val="22"/>
        </w:rPr>
        <w:t>накс</w:t>
      </w:r>
      <w:proofErr w:type="spellEnd"/>
      <w:r w:rsidRPr="001E5347">
        <w:rPr>
          <w:sz w:val="22"/>
        </w:rPr>
        <w:t xml:space="preserve"> с зарплатой 150000 </w:t>
      </w:r>
      <w:proofErr w:type="spellStart"/>
      <w:r w:rsidRPr="001E5347">
        <w:rPr>
          <w:sz w:val="22"/>
        </w:rPr>
        <w:t>руб</w:t>
      </w:r>
      <w:proofErr w:type="spellEnd"/>
      <w:r w:rsidRPr="001E5347">
        <w:rPr>
          <w:sz w:val="22"/>
        </w:rPr>
        <w:t xml:space="preserve">, а на третьем - </w:t>
      </w:r>
      <w:proofErr w:type="spellStart"/>
      <w:r w:rsidRPr="001E5347">
        <w:rPr>
          <w:sz w:val="22"/>
        </w:rPr>
        <w:t>java</w:t>
      </w:r>
      <w:proofErr w:type="spellEnd"/>
      <w:r w:rsidRPr="001E5347">
        <w:rPr>
          <w:sz w:val="22"/>
        </w:rPr>
        <w:t xml:space="preserve"> </w:t>
      </w:r>
      <w:proofErr w:type="spellStart"/>
      <w:r w:rsidRPr="001E5347">
        <w:rPr>
          <w:sz w:val="22"/>
        </w:rPr>
        <w:t>developer</w:t>
      </w:r>
      <w:proofErr w:type="spellEnd"/>
      <w:r w:rsidRPr="001E5347">
        <w:rPr>
          <w:sz w:val="22"/>
        </w:rPr>
        <w:t xml:space="preserve"> с зарплатой 147449 руб.</w:t>
      </w:r>
    </w:p>
    <w:p w:rsidR="001E5347" w:rsidRPr="001E5347" w:rsidRDefault="001E5347" w:rsidP="001E534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66911" cy="2619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7-01-30_20-17-0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012" cy="262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F3" w:rsidRDefault="001246F3" w:rsidP="00750E07">
      <w:pPr>
        <w:jc w:val="both"/>
      </w:pPr>
    </w:p>
    <w:p w:rsidR="001246F3" w:rsidRDefault="001246F3" w:rsidP="00DF298E">
      <w:pPr>
        <w:jc w:val="center"/>
      </w:pPr>
    </w:p>
    <w:p w:rsidR="001246F3" w:rsidRDefault="001246F3" w:rsidP="00750E07">
      <w:pPr>
        <w:jc w:val="both"/>
      </w:pPr>
    </w:p>
    <w:p w:rsidR="001246F3" w:rsidRDefault="001246F3" w:rsidP="00750E07">
      <w:pPr>
        <w:jc w:val="both"/>
      </w:pPr>
    </w:p>
    <w:p w:rsidR="001246F3" w:rsidRDefault="001246F3" w:rsidP="00750E07">
      <w:pPr>
        <w:jc w:val="both"/>
      </w:pPr>
    </w:p>
    <w:p w:rsidR="001246F3" w:rsidRDefault="001246F3" w:rsidP="00750E07">
      <w:pPr>
        <w:jc w:val="both"/>
      </w:pPr>
    </w:p>
    <w:p w:rsidR="001246F3" w:rsidRDefault="001246F3" w:rsidP="00750E07">
      <w:pPr>
        <w:jc w:val="both"/>
      </w:pPr>
    </w:p>
    <w:p w:rsidR="001246F3" w:rsidRDefault="001246F3" w:rsidP="00750E07">
      <w:pPr>
        <w:jc w:val="both"/>
      </w:pPr>
    </w:p>
    <w:p w:rsidR="001246F3" w:rsidRDefault="001246F3" w:rsidP="00750E07">
      <w:pPr>
        <w:jc w:val="both"/>
      </w:pPr>
    </w:p>
    <w:p w:rsidR="001246F3" w:rsidRDefault="001246F3" w:rsidP="00750E07">
      <w:pPr>
        <w:jc w:val="both"/>
      </w:pPr>
    </w:p>
    <w:p w:rsidR="001246F3" w:rsidRDefault="001246F3" w:rsidP="00750E07">
      <w:pPr>
        <w:jc w:val="both"/>
      </w:pPr>
    </w:p>
    <w:p w:rsidR="00826359" w:rsidRDefault="00826359"/>
    <w:p w:rsidR="00E328F8" w:rsidRDefault="00E5445B">
      <w:hyperlink r:id="rId18" w:history="1">
        <w:r w:rsidR="00F7661A" w:rsidRPr="00CE3BD8">
          <w:rPr>
            <w:rStyle w:val="a4"/>
          </w:rPr>
          <w:t>https://gov.spb.ru/static/writable/documents/2014/04/24/EA-Uroven-zhizni-naselenija-janv-sent-2013.pdf</w:t>
        </w:r>
      </w:hyperlink>
    </w:p>
    <w:p w:rsidR="00F7661A" w:rsidRDefault="00F7661A"/>
    <w:p w:rsidR="00F7661A" w:rsidRDefault="00E5445B">
      <w:hyperlink r:id="rId19" w:history="1">
        <w:r w:rsidR="00F7661A" w:rsidRPr="00CE3BD8">
          <w:rPr>
            <w:rStyle w:val="a4"/>
          </w:rPr>
          <w:t>https://gov.spb.ru/static/writable/documents/2015/07/08/%D0%AD%D0%90%20%D0%A3%D1%80%D0%BE%D0%B2%D0%B5%D0%BD%D1%8C%20%D0%B6%D0%B8%D0%B7%D0%BD%D0%B8%20%D0%BD%D0%B0%D1%81%D0%B5%D0%BB%D0%B5%D0%BD%D0%B8%D1%8F%20%D0%A1%D0%B0%D0%BD%D0%BA%D1%82-%D0%9F%D0%B5%D1%82%D0%B5%D1%80%D0%B1%D1%83%D1%80%D0%B3%D0%B0%20%D0%B2%20%D1%8F%D0%BD%D0%B2%D0%B0%D1%80%D0%B5-%D0%BC%D0%B0%D1%80%D1%82%D0%B5%202015%20%D0%B3..pdf</w:t>
        </w:r>
      </w:hyperlink>
    </w:p>
    <w:p w:rsidR="00F7661A" w:rsidRDefault="00F7661A"/>
    <w:p w:rsidR="00364DDE" w:rsidRDefault="00E5445B" w:rsidP="00364DDE">
      <w:pPr>
        <w:rPr>
          <w:rStyle w:val="ws-project-info-description"/>
          <w:color w:val="2F5496" w:themeColor="accent5" w:themeShade="BF"/>
        </w:rPr>
      </w:pPr>
      <w:hyperlink r:id="rId20" w:history="1">
        <w:r w:rsidR="00364DDE" w:rsidRPr="009F71D0">
          <w:rPr>
            <w:rStyle w:val="a4"/>
            <w:color w:val="034990" w:themeColor="hyperlink" w:themeShade="BF"/>
          </w:rPr>
          <w:t>http://petrostat.gks.ru/wps/wcm/connect/rosstat_ts/petrostat/resources/d1a49f804e3a2b55818ffdfd7f06bf82/nas_g.pdf</w:t>
        </w:r>
      </w:hyperlink>
    </w:p>
    <w:p w:rsidR="00F7661A" w:rsidRDefault="00F7661A"/>
    <w:p w:rsidR="00B41179" w:rsidRPr="00DA5DF6" w:rsidRDefault="00B41179" w:rsidP="00B41179">
      <w:pPr>
        <w:rPr>
          <w:rStyle w:val="ws-project-info-description"/>
          <w:color w:val="2F5496" w:themeColor="accent5" w:themeShade="BF"/>
          <w:u w:val="single"/>
        </w:rPr>
      </w:pPr>
      <w:r w:rsidRPr="00DA5DF6">
        <w:rPr>
          <w:rStyle w:val="ws-project-info-description"/>
          <w:color w:val="2F5496" w:themeColor="accent5" w:themeShade="BF"/>
          <w:u w:val="single"/>
        </w:rPr>
        <w:t>http://petrostat.gks.ru/wps/wcm/connect/rosstat_ts/petrostat/resources/7d5a88804eb4a6e78fefbf189c529309/trud_g.pdf</w:t>
      </w:r>
    </w:p>
    <w:p w:rsidR="00B41179" w:rsidRDefault="00B41179"/>
    <w:sectPr w:rsidR="00B4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86"/>
    <w:rsid w:val="00006F3E"/>
    <w:rsid w:val="0002167E"/>
    <w:rsid w:val="0002291A"/>
    <w:rsid w:val="00025151"/>
    <w:rsid w:val="00034157"/>
    <w:rsid w:val="00041FD5"/>
    <w:rsid w:val="00046657"/>
    <w:rsid w:val="00054450"/>
    <w:rsid w:val="0006725D"/>
    <w:rsid w:val="000726EF"/>
    <w:rsid w:val="000733EC"/>
    <w:rsid w:val="00076E80"/>
    <w:rsid w:val="00082742"/>
    <w:rsid w:val="00091E9F"/>
    <w:rsid w:val="00094039"/>
    <w:rsid w:val="000A0821"/>
    <w:rsid w:val="000B7522"/>
    <w:rsid w:val="000C0991"/>
    <w:rsid w:val="000C48D7"/>
    <w:rsid w:val="000C72C6"/>
    <w:rsid w:val="000D43F9"/>
    <w:rsid w:val="000E2066"/>
    <w:rsid w:val="000E5D6F"/>
    <w:rsid w:val="000F17A7"/>
    <w:rsid w:val="000F224C"/>
    <w:rsid w:val="00115DFF"/>
    <w:rsid w:val="001246F3"/>
    <w:rsid w:val="001354BC"/>
    <w:rsid w:val="00156A1D"/>
    <w:rsid w:val="001608D3"/>
    <w:rsid w:val="001776B5"/>
    <w:rsid w:val="00187CD6"/>
    <w:rsid w:val="001A5072"/>
    <w:rsid w:val="001B4F3F"/>
    <w:rsid w:val="001B7C93"/>
    <w:rsid w:val="001C1873"/>
    <w:rsid w:val="001C3097"/>
    <w:rsid w:val="001D454F"/>
    <w:rsid w:val="001E3172"/>
    <w:rsid w:val="001E5347"/>
    <w:rsid w:val="001E77F3"/>
    <w:rsid w:val="00225467"/>
    <w:rsid w:val="0022636F"/>
    <w:rsid w:val="00236F0C"/>
    <w:rsid w:val="00241546"/>
    <w:rsid w:val="0025121C"/>
    <w:rsid w:val="00267432"/>
    <w:rsid w:val="00272C8F"/>
    <w:rsid w:val="002736E5"/>
    <w:rsid w:val="002A1970"/>
    <w:rsid w:val="002A6FCC"/>
    <w:rsid w:val="002C5887"/>
    <w:rsid w:val="002C7BD1"/>
    <w:rsid w:val="002E100D"/>
    <w:rsid w:val="002E3BBD"/>
    <w:rsid w:val="003120BE"/>
    <w:rsid w:val="00323841"/>
    <w:rsid w:val="00332546"/>
    <w:rsid w:val="00335C26"/>
    <w:rsid w:val="0034561E"/>
    <w:rsid w:val="00350438"/>
    <w:rsid w:val="00364DDE"/>
    <w:rsid w:val="00367A83"/>
    <w:rsid w:val="00375D3A"/>
    <w:rsid w:val="00376E06"/>
    <w:rsid w:val="00386D63"/>
    <w:rsid w:val="0039099D"/>
    <w:rsid w:val="00393139"/>
    <w:rsid w:val="003A5190"/>
    <w:rsid w:val="003C6728"/>
    <w:rsid w:val="00402FA2"/>
    <w:rsid w:val="004058CE"/>
    <w:rsid w:val="004233DF"/>
    <w:rsid w:val="0043564D"/>
    <w:rsid w:val="00436CCA"/>
    <w:rsid w:val="0045015F"/>
    <w:rsid w:val="004548E0"/>
    <w:rsid w:val="00455973"/>
    <w:rsid w:val="00466F4B"/>
    <w:rsid w:val="004673A9"/>
    <w:rsid w:val="0048553E"/>
    <w:rsid w:val="00487335"/>
    <w:rsid w:val="00496547"/>
    <w:rsid w:val="004B15D6"/>
    <w:rsid w:val="004B4542"/>
    <w:rsid w:val="004B4D3A"/>
    <w:rsid w:val="004C3AC3"/>
    <w:rsid w:val="004C5113"/>
    <w:rsid w:val="004D2A4A"/>
    <w:rsid w:val="004D5A4E"/>
    <w:rsid w:val="004D5B47"/>
    <w:rsid w:val="004E6F56"/>
    <w:rsid w:val="004F15BB"/>
    <w:rsid w:val="00500D97"/>
    <w:rsid w:val="00525A83"/>
    <w:rsid w:val="005311DE"/>
    <w:rsid w:val="005739D9"/>
    <w:rsid w:val="005761C8"/>
    <w:rsid w:val="00576DDB"/>
    <w:rsid w:val="00580AA6"/>
    <w:rsid w:val="005A26C3"/>
    <w:rsid w:val="005C0603"/>
    <w:rsid w:val="005D68AC"/>
    <w:rsid w:val="0060094D"/>
    <w:rsid w:val="0061336C"/>
    <w:rsid w:val="006212D7"/>
    <w:rsid w:val="00633C74"/>
    <w:rsid w:val="0063647A"/>
    <w:rsid w:val="0066168C"/>
    <w:rsid w:val="00673319"/>
    <w:rsid w:val="00677434"/>
    <w:rsid w:val="006967D5"/>
    <w:rsid w:val="00696881"/>
    <w:rsid w:val="006B14BD"/>
    <w:rsid w:val="006C169D"/>
    <w:rsid w:val="006D1979"/>
    <w:rsid w:val="006D1FF8"/>
    <w:rsid w:val="006D3963"/>
    <w:rsid w:val="006E264B"/>
    <w:rsid w:val="006E28E4"/>
    <w:rsid w:val="006F4E3E"/>
    <w:rsid w:val="006F5A63"/>
    <w:rsid w:val="00711326"/>
    <w:rsid w:val="00711D5A"/>
    <w:rsid w:val="00715EB7"/>
    <w:rsid w:val="007275CC"/>
    <w:rsid w:val="00734D6A"/>
    <w:rsid w:val="00745E7D"/>
    <w:rsid w:val="00750E07"/>
    <w:rsid w:val="00752C67"/>
    <w:rsid w:val="00753225"/>
    <w:rsid w:val="007617D2"/>
    <w:rsid w:val="00773E5F"/>
    <w:rsid w:val="00785C74"/>
    <w:rsid w:val="007912FA"/>
    <w:rsid w:val="007926FE"/>
    <w:rsid w:val="00792808"/>
    <w:rsid w:val="00793C97"/>
    <w:rsid w:val="007B6B64"/>
    <w:rsid w:val="007C78C3"/>
    <w:rsid w:val="007D092C"/>
    <w:rsid w:val="007D0A0B"/>
    <w:rsid w:val="007D0BB1"/>
    <w:rsid w:val="007D1EA1"/>
    <w:rsid w:val="007D2564"/>
    <w:rsid w:val="007D3452"/>
    <w:rsid w:val="007D48FE"/>
    <w:rsid w:val="007E22E5"/>
    <w:rsid w:val="007E4E25"/>
    <w:rsid w:val="007E591E"/>
    <w:rsid w:val="007E67F0"/>
    <w:rsid w:val="007F62A9"/>
    <w:rsid w:val="00805D86"/>
    <w:rsid w:val="008129E2"/>
    <w:rsid w:val="008249F7"/>
    <w:rsid w:val="00826359"/>
    <w:rsid w:val="00834DBF"/>
    <w:rsid w:val="00843B12"/>
    <w:rsid w:val="008464C4"/>
    <w:rsid w:val="008564F0"/>
    <w:rsid w:val="00865878"/>
    <w:rsid w:val="00876707"/>
    <w:rsid w:val="00895B86"/>
    <w:rsid w:val="008A275B"/>
    <w:rsid w:val="008A5FB5"/>
    <w:rsid w:val="008D60EB"/>
    <w:rsid w:val="008E474E"/>
    <w:rsid w:val="008F1219"/>
    <w:rsid w:val="008F4665"/>
    <w:rsid w:val="008F5864"/>
    <w:rsid w:val="00906B37"/>
    <w:rsid w:val="0091316A"/>
    <w:rsid w:val="00921324"/>
    <w:rsid w:val="00946541"/>
    <w:rsid w:val="00947D2E"/>
    <w:rsid w:val="0095544B"/>
    <w:rsid w:val="00960FF3"/>
    <w:rsid w:val="00966B0D"/>
    <w:rsid w:val="00966E6B"/>
    <w:rsid w:val="0096768D"/>
    <w:rsid w:val="00974A60"/>
    <w:rsid w:val="009906FA"/>
    <w:rsid w:val="009909A7"/>
    <w:rsid w:val="009A65CC"/>
    <w:rsid w:val="009A6D15"/>
    <w:rsid w:val="009B1CA2"/>
    <w:rsid w:val="009C1E3E"/>
    <w:rsid w:val="009D032F"/>
    <w:rsid w:val="009E76F0"/>
    <w:rsid w:val="009F42BF"/>
    <w:rsid w:val="00A01EC5"/>
    <w:rsid w:val="00A03300"/>
    <w:rsid w:val="00A12C9B"/>
    <w:rsid w:val="00A17996"/>
    <w:rsid w:val="00A31D27"/>
    <w:rsid w:val="00A43BC1"/>
    <w:rsid w:val="00A46BAC"/>
    <w:rsid w:val="00A47BE8"/>
    <w:rsid w:val="00A621A2"/>
    <w:rsid w:val="00A63BDB"/>
    <w:rsid w:val="00A74AF6"/>
    <w:rsid w:val="00A74B6E"/>
    <w:rsid w:val="00A9346B"/>
    <w:rsid w:val="00AA4CA3"/>
    <w:rsid w:val="00AE1D1E"/>
    <w:rsid w:val="00AE492A"/>
    <w:rsid w:val="00AE7D7C"/>
    <w:rsid w:val="00AF0709"/>
    <w:rsid w:val="00B27353"/>
    <w:rsid w:val="00B31629"/>
    <w:rsid w:val="00B327EF"/>
    <w:rsid w:val="00B3301B"/>
    <w:rsid w:val="00B401F2"/>
    <w:rsid w:val="00B41179"/>
    <w:rsid w:val="00B413A9"/>
    <w:rsid w:val="00B57F92"/>
    <w:rsid w:val="00B606BD"/>
    <w:rsid w:val="00B73101"/>
    <w:rsid w:val="00B851A1"/>
    <w:rsid w:val="00B9305E"/>
    <w:rsid w:val="00B9520A"/>
    <w:rsid w:val="00BA58E3"/>
    <w:rsid w:val="00BB12E5"/>
    <w:rsid w:val="00BB4DDD"/>
    <w:rsid w:val="00BC0D9A"/>
    <w:rsid w:val="00BD5E29"/>
    <w:rsid w:val="00BF217C"/>
    <w:rsid w:val="00C12755"/>
    <w:rsid w:val="00C15106"/>
    <w:rsid w:val="00C24B03"/>
    <w:rsid w:val="00C278F8"/>
    <w:rsid w:val="00C31660"/>
    <w:rsid w:val="00C57399"/>
    <w:rsid w:val="00C866A6"/>
    <w:rsid w:val="00C94A43"/>
    <w:rsid w:val="00CA019F"/>
    <w:rsid w:val="00CB5BED"/>
    <w:rsid w:val="00CC5014"/>
    <w:rsid w:val="00CE406F"/>
    <w:rsid w:val="00CF780C"/>
    <w:rsid w:val="00D10EB1"/>
    <w:rsid w:val="00D12DB5"/>
    <w:rsid w:val="00D142EA"/>
    <w:rsid w:val="00D14354"/>
    <w:rsid w:val="00D146DB"/>
    <w:rsid w:val="00D33295"/>
    <w:rsid w:val="00D42847"/>
    <w:rsid w:val="00D43718"/>
    <w:rsid w:val="00D52DD3"/>
    <w:rsid w:val="00D624CA"/>
    <w:rsid w:val="00D65A9B"/>
    <w:rsid w:val="00D66835"/>
    <w:rsid w:val="00D72AC2"/>
    <w:rsid w:val="00D82268"/>
    <w:rsid w:val="00D910FF"/>
    <w:rsid w:val="00D91C2C"/>
    <w:rsid w:val="00D942EC"/>
    <w:rsid w:val="00DA3410"/>
    <w:rsid w:val="00DA50EC"/>
    <w:rsid w:val="00DA5DF6"/>
    <w:rsid w:val="00DB5741"/>
    <w:rsid w:val="00DB6DBE"/>
    <w:rsid w:val="00DE58BE"/>
    <w:rsid w:val="00DF298E"/>
    <w:rsid w:val="00E20A28"/>
    <w:rsid w:val="00E22855"/>
    <w:rsid w:val="00E328F8"/>
    <w:rsid w:val="00E46B2A"/>
    <w:rsid w:val="00E53637"/>
    <w:rsid w:val="00E5445B"/>
    <w:rsid w:val="00E5566B"/>
    <w:rsid w:val="00E71068"/>
    <w:rsid w:val="00E87906"/>
    <w:rsid w:val="00EB386F"/>
    <w:rsid w:val="00EE37AD"/>
    <w:rsid w:val="00EF0127"/>
    <w:rsid w:val="00F0117A"/>
    <w:rsid w:val="00F06854"/>
    <w:rsid w:val="00F16892"/>
    <w:rsid w:val="00F248F0"/>
    <w:rsid w:val="00F3460A"/>
    <w:rsid w:val="00F5040F"/>
    <w:rsid w:val="00F57F19"/>
    <w:rsid w:val="00F6167E"/>
    <w:rsid w:val="00F7661A"/>
    <w:rsid w:val="00F80121"/>
    <w:rsid w:val="00F85FC1"/>
    <w:rsid w:val="00F91210"/>
    <w:rsid w:val="00F92908"/>
    <w:rsid w:val="00FB27B6"/>
    <w:rsid w:val="00FC3134"/>
    <w:rsid w:val="00FC59F4"/>
    <w:rsid w:val="00FD5A81"/>
    <w:rsid w:val="00FD7132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58961-6196-430A-909B-AB06B5A1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66E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36F"/>
    <w:rPr>
      <w:b/>
      <w:bCs/>
    </w:rPr>
  </w:style>
  <w:style w:type="character" w:customStyle="1" w:styleId="ws-project-info-description">
    <w:name w:val="ws-project-info-description"/>
    <w:basedOn w:val="a0"/>
    <w:rsid w:val="0022636F"/>
  </w:style>
  <w:style w:type="character" w:styleId="a4">
    <w:name w:val="Hyperlink"/>
    <w:basedOn w:val="a0"/>
    <w:uiPriority w:val="99"/>
    <w:unhideWhenUsed/>
    <w:rsid w:val="00187CD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966E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27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39"/>
    <w:rsid w:val="00B3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gov.spb.ru/static/writable/documents/2014/04/24/EA-Uroven-zhizni-naselenija-janv-sent-2013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petrostat.gks.ru/wps/wcm/connect/rosstat_ts/petrostat/resources/d1a49f804e3a2b55818ffdfd7f06bf82/nas_g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s://gov.spb.ru/static/writable/documents/2015/07/08/%D0%AD%D0%90%20%D0%A3%D1%80%D0%BE%D0%B2%D0%B5%D0%BD%D1%8C%20%D0%B6%D0%B8%D0%B7%D0%BD%D0%B8%20%D0%BD%D0%B0%D1%81%D0%B5%D0%BB%D0%B5%D0%BD%D0%B8%D1%8F%20%D0%A1%D0%B0%D0%BD%D0%BA%D1%82-%D0%9F%D0%B5%D1%82%D0%B5%D1%80%D0%B1%D1%83%D1%80%D0%B3%D0%B0%20%D0%B2%20%D1%8F%D0%BD%D0%B2%D0%B0%D1%80%D0%B5-%D0%BC%D0%B0%D1%80%D1%82%D0%B5%202015%20%D0%B3..pdf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Кулишов</dc:creator>
  <cp:keywords/>
  <dc:description/>
  <cp:lastModifiedBy>Владимир Кулишов</cp:lastModifiedBy>
  <cp:revision>7</cp:revision>
  <dcterms:created xsi:type="dcterms:W3CDTF">2017-01-30T20:15:00Z</dcterms:created>
  <dcterms:modified xsi:type="dcterms:W3CDTF">2017-03-09T00:31:00Z</dcterms:modified>
</cp:coreProperties>
</file>