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22"/>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22" w:type="dxa"/>
          </w:tcPr>
          <w:p>
            <w:pPr>
              <w:contextualSpacing w:val="0"/>
              <w:jc w:val="both"/>
              <w:rPr>
                <w:b/>
                <w:vertAlign w:val="baseline"/>
                <w:rtl w:val="0"/>
                <w:lang w:val="ru-RU"/>
              </w:rPr>
            </w:pPr>
            <w:bookmarkStart w:id="0" w:name="_gjdgxs" w:colFirst="0" w:colLast="0"/>
            <w:bookmarkEnd w:id="0"/>
            <w:r>
              <w:rPr>
                <w:b/>
                <w:vertAlign w:val="baseline"/>
                <w:rtl w:val="0"/>
                <w:lang w:val="ru-RU"/>
              </w:rPr>
              <w:t>Оригинал</w:t>
            </w:r>
          </w:p>
        </w:tc>
        <w:tc>
          <w:tcPr>
            <w:tcW w:w="4623" w:type="dxa"/>
          </w:tcPr>
          <w:p>
            <w:pPr>
              <w:contextualSpacing w:val="0"/>
              <w:jc w:val="both"/>
              <w:rPr>
                <w:b/>
                <w:vertAlign w:val="baseline"/>
                <w:rtl w:val="0"/>
                <w:lang w:val="ru-RU"/>
              </w:rPr>
            </w:pPr>
            <w:r>
              <w:rPr>
                <w:b/>
                <w:vertAlign w:val="baseline"/>
                <w:rtl w:val="0"/>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22" w:type="dxa"/>
          </w:tcPr>
          <w:p>
            <w:pPr>
              <w:contextualSpacing w:val="0"/>
              <w:jc w:val="both"/>
              <w:rPr>
                <w:b/>
                <w:rtl w:val="0"/>
              </w:rPr>
            </w:pPr>
          </w:p>
          <w:p>
            <w:pPr>
              <w:contextualSpacing w:val="0"/>
              <w:jc w:val="both"/>
            </w:pPr>
            <w:r>
              <w:rPr>
                <w:b/>
                <w:rtl w:val="0"/>
              </w:rPr>
              <w:t>Reasons why and objectives of the ICO</w:t>
            </w:r>
          </w:p>
          <w:p>
            <w:pPr>
              <w:contextualSpacing w:val="0"/>
              <w:jc w:val="both"/>
            </w:pPr>
          </w:p>
          <w:p>
            <w:pPr>
              <w:contextualSpacing w:val="0"/>
              <w:jc w:val="both"/>
            </w:pPr>
            <w:r>
              <w:rPr>
                <w:rtl w:val="0"/>
              </w:rPr>
              <w:t xml:space="preserve">Talao is a DAO platform based on a tokenized model (ERC20 tokens). The team sees the tokenization of platform as a unique way to align founders and users, sharing the same project, value created and future. </w:t>
            </w:r>
          </w:p>
          <w:p>
            <w:pPr>
              <w:contextualSpacing w:val="0"/>
              <w:jc w:val="both"/>
            </w:pPr>
          </w:p>
          <w:p>
            <w:pPr>
              <w:contextualSpacing w:val="0"/>
              <w:jc w:val="both"/>
            </w:pPr>
            <w:r>
              <w:rPr>
                <w:rtl w:val="0"/>
              </w:rPr>
              <w:t>TALAO will launch its Private sale of tokens by the end of April 2018. The public crowdsales is scheduled for May 2018.</w:t>
            </w:r>
          </w:p>
          <w:p>
            <w:pPr>
              <w:contextualSpacing w:val="0"/>
              <w:jc w:val="both"/>
            </w:pPr>
          </w:p>
          <w:p>
            <w:pPr>
              <w:contextualSpacing w:val="0"/>
              <w:jc w:val="both"/>
            </w:pPr>
            <w:r>
              <w:rPr>
                <w:rtl w:val="0"/>
              </w:rPr>
              <w:t>Although those transactions are not regulated yet in France, Talao has decided to take into consideration the results of the public consultation on ICOs launched on October 2017 by the French Markets Authority (AMF) to structure its own ICO.</w:t>
            </w:r>
          </w:p>
          <w:p>
            <w:pPr>
              <w:contextualSpacing w:val="0"/>
              <w:jc w:val="both"/>
            </w:pPr>
          </w:p>
          <w:p>
            <w:pPr>
              <w:contextualSpacing w:val="0"/>
              <w:jc w:val="both"/>
              <w:rPr>
                <w:b/>
              </w:rPr>
            </w:pPr>
            <w:r>
              <w:rPr>
                <w:b/>
                <w:rtl w:val="0"/>
              </w:rPr>
              <w:t>Team and advisors</w:t>
            </w:r>
          </w:p>
          <w:p>
            <w:pPr>
              <w:contextualSpacing w:val="0"/>
              <w:jc w:val="both"/>
              <w:rPr>
                <w:b/>
              </w:rPr>
            </w:pPr>
          </w:p>
          <w:p>
            <w:pPr>
              <w:contextualSpacing w:val="0"/>
              <w:jc w:val="both"/>
            </w:pPr>
            <w:r>
              <w:rPr>
                <w:rtl w:val="0"/>
              </w:rPr>
              <w:t>Talao's executives are serial entrepreneurs of the tech and consulting industries, with a strong experience of hyper growth and IPOs. Among the companies created by them, the French unicorn FI SYSTEM. They built 2 years ago a centralized platform to connect Talent and blue chips companies, eMindHub.com. Envisioning the blockchain revolution, the team choose to disrupt instead of being disrupted, and decided to switch to Talao, a fully decentralized platform.</w:t>
            </w:r>
          </w:p>
          <w:p>
            <w:pPr>
              <w:contextualSpacing w:val="0"/>
              <w:jc w:val="both"/>
            </w:pPr>
          </w:p>
          <w:p>
            <w:pPr>
              <w:contextualSpacing w:val="0"/>
              <w:jc w:val="both"/>
            </w:pPr>
            <w:r>
              <w:rPr>
                <w:rtl w:val="0"/>
              </w:rPr>
              <w:t>Talao is supported by Blockchain Partner for the structuring of the ICO and a range of advisors, who oversee the development of the project:</w:t>
            </w:r>
          </w:p>
          <w:p>
            <w:pPr>
              <w:contextualSpacing w:val="0"/>
              <w:jc w:val="both"/>
              <w:rPr>
                <w:b/>
                <w:vertAlign w:val="baseline"/>
                <w:rtl w:val="0"/>
              </w:rPr>
            </w:pPr>
          </w:p>
        </w:tc>
        <w:tc>
          <w:tcPr>
            <w:tcW w:w="4623" w:type="dxa"/>
          </w:tcPr>
          <w:p>
            <w:pPr>
              <w:contextualSpacing w:val="0"/>
              <w:jc w:val="both"/>
            </w:pPr>
          </w:p>
          <w:p>
            <w:pPr>
              <w:contextualSpacing w:val="0"/>
              <w:jc w:val="both"/>
              <w:rPr>
                <w:b/>
              </w:rPr>
            </w:pPr>
            <w:r>
              <w:rPr>
                <w:b/>
                <w:rtl w:val="0"/>
              </w:rPr>
              <w:t>Причины выбора и цели ICO</w:t>
            </w:r>
          </w:p>
          <w:p>
            <w:pPr>
              <w:contextualSpacing w:val="0"/>
              <w:jc w:val="both"/>
            </w:pPr>
            <w:r>
              <w:rPr>
                <w:rtl w:val="0"/>
              </w:rPr>
              <w:t xml:space="preserve"> </w:t>
            </w:r>
          </w:p>
          <w:p>
            <w:pPr>
              <w:contextualSpacing w:val="0"/>
              <w:jc w:val="both"/>
            </w:pPr>
            <w:r>
              <w:rPr>
                <w:rtl w:val="0"/>
              </w:rPr>
              <w:t>Талао это DAO (цифровая децентрализованная автономная организация) платформа на базе токенизированной модели (токены ERC20). Команда рассматривает токенизацию платформы в качестве уникального способа налаживания связей между создателями и пользователями, совместно использующими один и тот же проект, созданные и будущие ценности.</w:t>
            </w:r>
          </w:p>
          <w:p>
            <w:pPr>
              <w:contextualSpacing w:val="0"/>
              <w:jc w:val="both"/>
            </w:pPr>
            <w:r>
              <w:rPr>
                <w:rtl w:val="0"/>
              </w:rPr>
              <w:t xml:space="preserve"> </w:t>
            </w:r>
          </w:p>
          <w:p>
            <w:pPr>
              <w:contextualSpacing w:val="0"/>
              <w:jc w:val="both"/>
            </w:pPr>
            <w:r>
              <w:rPr>
                <w:rtl w:val="0"/>
              </w:rPr>
              <w:t>Талао запустит собственную продажу токенов до конца апреля 2018 года. Публичное ICO запланировано на май 2018 года.</w:t>
            </w:r>
          </w:p>
          <w:p>
            <w:pPr>
              <w:contextualSpacing w:val="0"/>
              <w:jc w:val="both"/>
            </w:pPr>
            <w:r>
              <w:rPr>
                <w:rtl w:val="0"/>
              </w:rPr>
              <w:t xml:space="preserve"> </w:t>
            </w:r>
          </w:p>
          <w:p>
            <w:pPr>
              <w:contextualSpacing w:val="0"/>
              <w:jc w:val="both"/>
            </w:pPr>
            <w:r>
              <w:rPr>
                <w:rtl w:val="0"/>
              </w:rPr>
              <w:t>Хотя данные сделки не регулируются, но во Франции, Талао решил принять во внимание результаты публичных слушаний по ICO, запущенных в октябре 2017 года Управлением по финансовым рынкам Франции (AMF) для структурирования собственного ICO.</w:t>
            </w:r>
          </w:p>
          <w:p>
            <w:pPr>
              <w:contextualSpacing w:val="0"/>
              <w:jc w:val="both"/>
            </w:pPr>
            <w:r>
              <w:rPr>
                <w:rtl w:val="0"/>
              </w:rPr>
              <w:t xml:space="preserve"> </w:t>
            </w:r>
          </w:p>
          <w:p>
            <w:pPr>
              <w:contextualSpacing w:val="0"/>
              <w:jc w:val="both"/>
              <w:rPr>
                <w:b/>
              </w:rPr>
            </w:pPr>
          </w:p>
          <w:p>
            <w:pPr>
              <w:contextualSpacing w:val="0"/>
              <w:jc w:val="both"/>
              <w:rPr>
                <w:b/>
              </w:rPr>
            </w:pPr>
          </w:p>
          <w:p>
            <w:pPr>
              <w:contextualSpacing w:val="0"/>
              <w:jc w:val="both"/>
              <w:rPr>
                <w:b/>
              </w:rPr>
            </w:pPr>
          </w:p>
          <w:p>
            <w:pPr>
              <w:contextualSpacing w:val="0"/>
              <w:jc w:val="both"/>
              <w:rPr>
                <w:b/>
              </w:rPr>
            </w:pPr>
            <w:r>
              <w:rPr>
                <w:b/>
                <w:rtl w:val="0"/>
              </w:rPr>
              <w:t>Команда и советники</w:t>
            </w:r>
          </w:p>
          <w:p>
            <w:pPr>
              <w:contextualSpacing w:val="0"/>
              <w:jc w:val="both"/>
              <w:rPr>
                <w:b/>
              </w:rPr>
            </w:pPr>
            <w:r>
              <w:rPr>
                <w:b/>
                <w:rtl w:val="0"/>
              </w:rPr>
              <w:t xml:space="preserve"> </w:t>
            </w:r>
          </w:p>
          <w:p>
            <w:pPr>
              <w:contextualSpacing w:val="0"/>
              <w:jc w:val="both"/>
            </w:pPr>
            <w:r>
              <w:rPr>
                <w:rtl w:val="0"/>
              </w:rPr>
              <w:t>Руководителями Талао являются серийные предприниматели в сфере технологий и консалтинга, с солидным опытом гипер-роста и IPO. Среди компаний, созданных ими, французская высокоточная интернет-система Unicorn. 2 года они построили централизованную платформу для подключения талантливых компаний и "голубых фишек", eMindHub.com. Предвидя революцию блокчейна, команда предпочла вмешиваться, а не быть дезорганизованной вмешательством , и решила переключится на Талао, полностью децентрализованную платформу.</w:t>
            </w:r>
          </w:p>
          <w:p>
            <w:pPr>
              <w:contextualSpacing w:val="0"/>
              <w:jc w:val="both"/>
            </w:pPr>
            <w:r>
              <w:rPr>
                <w:rtl w:val="0"/>
              </w:rPr>
              <w:t xml:space="preserve"> </w:t>
            </w:r>
          </w:p>
          <w:p>
            <w:pPr>
              <w:contextualSpacing w:val="0"/>
              <w:jc w:val="both"/>
            </w:pPr>
            <w:r>
              <w:rPr>
                <w:rtl w:val="0"/>
              </w:rPr>
              <w:t>Талао поддерживается Блокчейн Партнерс в структурировании ICO, а также рядом советников, следящих за развитием проекта:</w:t>
            </w:r>
          </w:p>
          <w:p>
            <w:pPr>
              <w:contextualSpacing w:val="0"/>
              <w:jc w:val="both"/>
            </w:pPr>
          </w:p>
          <w:p>
            <w:pPr>
              <w:contextualSpacing w:val="0"/>
              <w:jc w:val="both"/>
              <w:rPr>
                <w:b/>
                <w:vertAlign w:val="baseline"/>
                <w:rtl w:val="0"/>
              </w:rPr>
            </w:pPr>
            <w:bookmarkStart w:id="1" w:name="_GoBack"/>
            <w:bookmarkEnd w:id="1"/>
          </w:p>
        </w:tc>
      </w:tr>
    </w:tbl>
    <w:p>
      <w:pPr>
        <w:contextualSpacing w:val="0"/>
        <w:jc w:val="both"/>
        <w:rPr>
          <w:b/>
          <w:rtl w:val="0"/>
        </w:rPr>
      </w:pPr>
    </w:p>
    <w:p>
      <w:pPr>
        <w:contextualSpacing w:val="0"/>
        <w:jc w:val="both"/>
        <w:rPr>
          <w:b/>
          <w:rtl w:val="0"/>
        </w:rPr>
      </w:pPr>
    </w:p>
    <w:p>
      <w:pPr>
        <w:contextualSpacing w:val="0"/>
        <w:jc w:val="both"/>
      </w:pPr>
    </w:p>
    <w:p>
      <w:pPr>
        <w:contextualSpacing w:val="0"/>
        <w:jc w:val="both"/>
      </w:pPr>
    </w:p>
    <w:sectPr>
      <w:footerReference r:id="rId3" w:type="default"/>
      <w:footerReference r:id="rId4" w:type="even"/>
      <w:pgSz w:w="11909" w:h="16834"/>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contextualSpacing w:val="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Pr>
      <w:fldChar w:fldCharType="begin"/>
    </w:r>
    <w:r>
      <w:rPr>
        <w:rFonts w:ascii="Arial" w:hAnsi="Arial" w:eastAsia="Arial" w:cs="Arial"/>
        <w:b w:val="0"/>
        <w:i w:val="0"/>
        <w:smallCaps w:val="0"/>
        <w:strike w:val="0"/>
        <w:color w:val="000000"/>
        <w:sz w:val="22"/>
        <w:szCs w:val="22"/>
        <w:u w:val="none"/>
        <w:shd w:val="clear" w:fill="auto"/>
        <w:vertAlign w:val="baseline"/>
      </w:rPr>
      <w:instrText xml:space="preserve">PAGE</w:instrText>
    </w:r>
    <w:r>
      <w:rPr>
        <w:rFonts w:ascii="Arial" w:hAnsi="Arial" w:eastAsia="Arial" w:cs="Arial"/>
        <w:b w:val="0"/>
        <w:i w:val="0"/>
        <w:smallCaps w:val="0"/>
        <w:strike w:val="0"/>
        <w:color w:val="000000"/>
        <w:sz w:val="22"/>
        <w:szCs w:val="22"/>
        <w:u w:val="none"/>
        <w:shd w:val="clear" w:fill="auto"/>
        <w:vertAlign w:val="baseline"/>
      </w:rPr>
      <w:fldChar w:fldCharType="separate"/>
    </w:r>
    <w:r>
      <w:rPr>
        <w:rFonts w:ascii="Arial" w:hAnsi="Arial" w:eastAsia="Arial" w:cs="Arial"/>
        <w:b w:val="0"/>
        <w:i w:val="0"/>
        <w:smallCaps w:val="0"/>
        <w:strike w:val="0"/>
        <w:color w:val="000000"/>
        <w:sz w:val="22"/>
        <w:szCs w:val="2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360" w:firstLine="0"/>
      <w:contextualSpacing w:val="0"/>
      <w:jc w:val="left"/>
      <w:rPr>
        <w:rFonts w:ascii="Arial" w:hAnsi="Arial" w:eastAsia="Arial" w:cs="Arial"/>
        <w:b w:val="0"/>
        <w:i w:val="0"/>
        <w:smallCaps w:val="0"/>
        <w:strike w:val="0"/>
        <w:color w:val="000000"/>
        <w:sz w:val="22"/>
        <w:szCs w:val="22"/>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contextualSpacing w:val="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Pr>
      <w:fldChar w:fldCharType="begin"/>
    </w:r>
    <w:r>
      <w:rPr>
        <w:rFonts w:ascii="Arial" w:hAnsi="Arial" w:eastAsia="Arial" w:cs="Arial"/>
        <w:b w:val="0"/>
        <w:i w:val="0"/>
        <w:smallCaps w:val="0"/>
        <w:strike w:val="0"/>
        <w:color w:val="000000"/>
        <w:sz w:val="22"/>
        <w:szCs w:val="22"/>
        <w:u w:val="none"/>
        <w:shd w:val="clear" w:fill="auto"/>
        <w:vertAlign w:val="baseline"/>
      </w:rPr>
      <w:instrText xml:space="preserve">PAGE</w:instrText>
    </w:r>
    <w:r>
      <w:rPr>
        <w:rFonts w:ascii="Arial" w:hAnsi="Arial" w:eastAsia="Arial" w:cs="Arial"/>
        <w:b w:val="0"/>
        <w:i w:val="0"/>
        <w:smallCaps w:val="0"/>
        <w:strike w:val="0"/>
        <w:color w:val="000000"/>
        <w:sz w:val="22"/>
        <w:szCs w:val="22"/>
        <w:u w:val="none"/>
        <w:shd w:val="clear" w:fill="auto"/>
        <w:vertAlign w:val="baseline"/>
      </w:rPr>
      <w:fldChar w:fldCharType="separate"/>
    </w:r>
    <w:r>
      <w:rPr>
        <w:rFonts w:ascii="Arial" w:hAnsi="Arial" w:eastAsia="Arial" w:cs="Arial"/>
        <w:b w:val="0"/>
        <w:i w:val="0"/>
        <w:smallCaps w:val="0"/>
        <w:strike w:val="0"/>
        <w:color w:val="000000"/>
        <w:sz w:val="22"/>
        <w:szCs w:val="2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360" w:firstLine="0"/>
      <w:contextualSpacing w:val="0"/>
      <w:jc w:val="left"/>
      <w:rPr>
        <w:rFonts w:ascii="Arial" w:hAnsi="Arial" w:eastAsia="Arial" w:cs="Arial"/>
        <w:b w:val="0"/>
        <w:i w:val="0"/>
        <w:smallCaps w:val="0"/>
        <w:strike w:val="0"/>
        <w:color w:val="000000"/>
        <w:sz w:val="22"/>
        <w:szCs w:val="22"/>
        <w:u w:val="none"/>
        <w:shd w:val="clear" w:fill="auto"/>
        <w:vertAlign w:val="baseli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4"/>
  </w:compat>
  <w:rsids>
    <w:rsidRoot w:val="00000000"/>
    <w:rsid w:val="674B2B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276" w:lineRule="auto"/>
    </w:pPr>
    <w:rPr>
      <w:rFonts w:ascii="Arial" w:hAnsi="Arial" w:eastAsia="Arial" w:cs="Arial"/>
      <w:sz w:val="22"/>
      <w:szCs w:val="22"/>
      <w:lang w:val="en-US"/>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rPr>
  </w:style>
  <w:style w:type="paragraph" w:styleId="7">
    <w:name w:val="heading 6"/>
    <w:basedOn w:val="1"/>
    <w:next w:val="1"/>
    <w:uiPriority w:val="0"/>
    <w:pPr>
      <w:keepNext/>
      <w:keepLines/>
      <w:spacing w:before="240" w:after="80"/>
    </w:pPr>
    <w:rPr>
      <w:i/>
      <w:color w:val="666666"/>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spacing w:after="60"/>
    </w:pPr>
    <w:rPr>
      <w:sz w:val="52"/>
      <w:szCs w:val="52"/>
    </w:rPr>
  </w:style>
  <w:style w:type="paragraph" w:styleId="9">
    <w:name w:val="Subtitle"/>
    <w:basedOn w:val="1"/>
    <w:next w:val="1"/>
    <w:uiPriority w:val="0"/>
    <w:pPr>
      <w:keepNext/>
      <w:keepLines/>
      <w:spacing w:after="320"/>
    </w:pPr>
    <w:rPr>
      <w:color w:val="666666"/>
      <w:sz w:val="30"/>
      <w:szCs w:val="30"/>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Table Normal"/>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Office_10.2.0.6020_F1E327BC-269C-435d-A152-05C5408002CA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2018-05-26T11:41:53Z</dcterms:created>
  <dc:creator>1</dc:creator>
  <cp:lastModifiedBy>1</cp:lastModifiedBy>
  <dcterms:modified xsi:type="dcterms:W3CDTF">2018-05-26T11:42:50Z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