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97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5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4" w:type="dxa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the technological point of view, the ORS Hypersmart Contract is a software program hosted on the ORS Platform and with an associated Ethereum account. Upon receipt of a specified amount of ORS tokens, the HSC can activate an A.I. algorithms-based software solution to solve complex optimization problems, which are parameterized with information previously stored by third parties on a blockchain (different HSC can interact with different blockchain types). The UML  sequence diagram in Figure 3 shows more in details the general working mechanism of the Hypersmart Contracts. On the left, two different actors are represented: Master and Participants. The Master is an entity (an organization, a person, a software system), that needs to solve a complex optimization problem (both B2B and B2C); the problem can be solved by a specific ORS’ or certified third party’s AI-based software solution (the ‘Hypersmart Solution(s)’) available on the Platform.</w:t>
            </w:r>
          </w:p>
        </w:tc>
        <w:tc>
          <w:tcPr>
            <w:tcW w:w="5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ru-RU" w:bidi="ru-RU"/>
              </w:rPr>
              <w:t xml:space="preserve">С технологической точки зрения, гиперсмарт-контракты от ORS- это программное обеспечение, размещенное на платформе ORS, и связанную с ним учетную запись Ethereum. </w:t>
            </w:r>
            <w:bookmarkStart w:id="0" w:name="_GoBack"/>
            <w:bookmarkEnd w:id="0"/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ru-RU" w:bidi="ru-RU"/>
              </w:rPr>
              <w:t>После получения определенного количества токенов ORS, HSC (гиперсмарт-контракты) могут запускать программное обеспечение на базе алгоритмов искусственного интеллекта для решения сложных задач оптимизации, которые параметризованы с информацией, ранее хранившейся третьими лицами в блокчейне (различные HSC могут взаимодействовать с различными типами блокчейна). Диаграмма последовательности UML на рис. 3 более подробно описывает общий механизм работы гиперсмарт-контрактов. Слева представлена 2 различных типа субъектов:Мастер и участники. Мастер-это правовой субъект (организация, физическое лицо, система программного обеспечения), которому требуетсярешить сложную задачу оптимизации (как B2B, так и B2C); проблема может быть решена с помощью специального программного обеспечения на основе искусственного интеллекта, предоставленного ORS или сертифицированного третьей стороной ("Решение(я) Гиперсмарт"), и доступного на платформе.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4" w:type="dxa"/>
          </w:tcPr>
          <w:p>
            <w:pPr>
              <w:pStyle w:val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БОНУС предназначен для тех случаев, когда вы построили очень мощную сеть. Если ежедневная прибыль слабой ветки остается на уровне $250 000 или выше в течение 30 дней, вы немедленно зарабатываете $37 500. Если на следующий день прибыль слабой ветки остается на уровне $250 000, вы получаете еще $37 500. Это самый лучший рассчитанный на долгосрочную перспективу доход для успешного создателя сети.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только прибыль, накопленная в слабой ветке, достигнет отметки в $1 миллион, вы будете получать долю в прибылях внутренней биржи PIN. Чем больше долей у вас есть, тем больше прибыли вы разделите с внутренней биржей PIN. Каждый раз, когда прибыль, накопленная слабой веткой, увеличивается на $1 миллион, вы получаете еще одну долю в фонде прибыли внутренней биржи PIN, а это огромная сумма. Прибыль в $10 миллионов соответствует 10 долям. </w:t>
            </w:r>
          </w:p>
          <w:p>
            <w:pPr>
              <w:spacing w:after="0" w:line="276" w:lineRule="auto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93" w:type="dxa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ru-RU" w:eastAsia="ru-RU" w:bidi="ru-RU"/>
              </w:rPr>
              <w:t>The BONUS is meant for those cases when you have built a very powerful network.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ru-RU" w:eastAsia="ru-RU" w:bidi="ru-RU"/>
              </w:rPr>
              <w:t>If the weak branch daily profit remains remains at $ 250,000 or above within 30 days, you'll immediately earn $37 500.If the next day a profit of weak branch is still at at $250 000, you will get another $37 500.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ru-RU" w:eastAsia="ru-RU" w:bidi="ru-RU"/>
              </w:rPr>
              <w:t>This is the best long-term income for a successful network creator.</w:t>
            </w:r>
          </w:p>
          <w:p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ru-RU" w:eastAsia="ru-RU" w:bidi="ru-RU"/>
              </w:rPr>
              <w:t>As soon as the profit accumulated in the weak branch reaches the mark of $ 1 million, you will receive a share in the profit of the PIN Internal Exchange.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ru-RU" w:eastAsia="ru-RU" w:bidi="ru-RU"/>
              </w:rPr>
              <w:t>The more shares you have, the more profit will be shared with you by the PIN Internal Exchange.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val="ru-RU" w:eastAsia="ru-RU" w:bidi="ru-RU"/>
              </w:rPr>
              <w:t>Every time the profit accumulated by the weak branch increased by $1 million, you get another share in the profit fund of the PIN Internal Exchange, and that's a huge amount.A profit of $10 million equals 10 shares.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BC"/>
    <w:rsid w:val="00601595"/>
    <w:rsid w:val="00C65DBC"/>
    <w:rsid w:val="00D93545"/>
    <w:rsid w:val="00E128EB"/>
    <w:rsid w:val="27E104D4"/>
    <w:rsid w:val="54A640D3"/>
    <w:rsid w:val="69D3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бычный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76" w:lineRule="auto"/>
    </w:pPr>
    <w:rPr>
      <w:rFonts w:ascii="Arial" w:hAnsi="Arial" w:eastAsia="Arial" w:cs="Arial"/>
      <w:color w:val="000000"/>
      <w:sz w:val="22"/>
      <w:szCs w:val="22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1551</Characters>
  <Lines>12</Lines>
  <Paragraphs>3</Paragraphs>
  <TotalTime>0</TotalTime>
  <ScaleCrop>false</ScaleCrop>
  <LinksUpToDate>false</LinksUpToDate>
  <CharactersWithSpaces>1820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2018-04-13T11:10:00Z</dcterms:created>
  <dc:creator>Юлия Станкина</dc:creator>
  <cp:lastModifiedBy>1</cp:lastModifiedBy>
  <dcterms:modified xsi:type="dcterms:W3CDTF">2018-05-22T09:31:50Z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