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065" w:type="dxa"/>
        <w:tblInd w:w="108" w:type="dxa"/>
        <w:tblLayout w:type="fixed"/>
        <w:tblCellMar>
          <w:top w:w="0" w:type="dxa"/>
          <w:left w:w="108" w:type="dxa"/>
          <w:bottom w:w="0" w:type="dxa"/>
          <w:right w:w="108" w:type="dxa"/>
        </w:tblCellMar>
      </w:tblPr>
      <w:tblGrid>
        <w:gridCol w:w="5032"/>
        <w:gridCol w:w="5033"/>
      </w:tblGrid>
      <w:tr>
        <w:tblPrEx>
          <w:tblLayout w:type="fixed"/>
          <w:tblCellMar>
            <w:top w:w="0" w:type="dxa"/>
            <w:left w:w="108" w:type="dxa"/>
            <w:bottom w:w="0" w:type="dxa"/>
            <w:right w:w="108" w:type="dxa"/>
          </w:tblCellMar>
        </w:tblPrEx>
        <w:tc>
          <w:tcPr>
            <w:tcW w:w="5032" w:type="dxa"/>
          </w:tcPr>
          <w:p>
            <w:pPr>
              <w:rPr>
                <w:b/>
                <w:sz w:val="22"/>
                <w:szCs w:val="22"/>
                <w:lang w:val="en-US"/>
              </w:rPr>
            </w:pPr>
          </w:p>
          <w:p>
            <w:pPr>
              <w:jc w:val="center"/>
              <w:rPr>
                <w:b/>
                <w:color w:val="FF0000"/>
                <w:sz w:val="22"/>
                <w:szCs w:val="22"/>
              </w:rPr>
            </w:pPr>
            <w:r>
              <w:rPr>
                <w:b/>
                <w:sz w:val="22"/>
                <w:szCs w:val="22"/>
              </w:rPr>
              <w:t xml:space="preserve">КОНТРАКТ НА ПОСТАВКУ № </w:t>
            </w:r>
          </w:p>
          <w:p>
            <w:pPr>
              <w:jc w:val="center"/>
              <w:rPr>
                <w:b/>
                <w:color w:val="000000"/>
                <w:sz w:val="22"/>
                <w:szCs w:val="22"/>
              </w:rPr>
            </w:pPr>
            <w:r>
              <w:rPr>
                <w:b/>
                <w:color w:val="000000"/>
                <w:sz w:val="22"/>
                <w:szCs w:val="22"/>
              </w:rPr>
              <w:t>от  ___________ 2017__ года</w:t>
            </w:r>
          </w:p>
          <w:p>
            <w:pPr>
              <w:rPr>
                <w:b/>
                <w:sz w:val="22"/>
                <w:szCs w:val="22"/>
              </w:rPr>
            </w:pPr>
          </w:p>
        </w:tc>
        <w:tc>
          <w:tcPr>
            <w:tcW w:w="5033" w:type="dxa"/>
          </w:tcPr>
          <w:p>
            <w:pPr>
              <w:rPr>
                <w:b/>
                <w:sz w:val="22"/>
                <w:szCs w:val="22"/>
                <w:highlight w:val="yellow"/>
                <w:lang w:val="en-US"/>
              </w:rPr>
            </w:pPr>
          </w:p>
          <w:p>
            <w:pPr>
              <w:jc w:val="center"/>
              <w:rPr>
                <w:b/>
                <w:color w:val="FF0000"/>
                <w:sz w:val="22"/>
                <w:szCs w:val="22"/>
                <w:lang w:val="en-US"/>
              </w:rPr>
            </w:pPr>
            <w:r>
              <w:rPr>
                <w:b/>
                <w:sz w:val="22"/>
                <w:szCs w:val="22"/>
                <w:lang w:val="en-US"/>
              </w:rPr>
              <w:t xml:space="preserve">CONTRACT FOR SUPPLYING № </w:t>
            </w:r>
          </w:p>
          <w:p>
            <w:pPr>
              <w:jc w:val="center"/>
              <w:rPr>
                <w:b/>
                <w:color w:val="000000"/>
                <w:sz w:val="22"/>
                <w:szCs w:val="22"/>
                <w:lang w:val="en-US"/>
              </w:rPr>
            </w:pPr>
            <w:r>
              <w:rPr>
                <w:b/>
                <w:color w:val="000000"/>
                <w:sz w:val="22"/>
                <w:szCs w:val="22"/>
                <w:lang w:val="en-US"/>
              </w:rPr>
              <w:t xml:space="preserve">dated  </w:t>
            </w:r>
            <w:r>
              <w:rPr>
                <w:b/>
                <w:color w:val="000000"/>
                <w:sz w:val="22"/>
                <w:szCs w:val="22"/>
              </w:rPr>
              <w:t>_______</w:t>
            </w:r>
            <w:r>
              <w:rPr>
                <w:b/>
                <w:color w:val="000000"/>
                <w:sz w:val="22"/>
                <w:szCs w:val="22"/>
                <w:lang w:val="en-US"/>
              </w:rPr>
              <w:t>, 201</w:t>
            </w:r>
            <w:r>
              <w:rPr>
                <w:b/>
                <w:color w:val="000000"/>
                <w:sz w:val="22"/>
                <w:szCs w:val="22"/>
              </w:rPr>
              <w:t>7___</w:t>
            </w:r>
            <w:r>
              <w:rPr>
                <w:b/>
                <w:color w:val="000000"/>
                <w:sz w:val="22"/>
                <w:szCs w:val="22"/>
                <w:lang w:val="en-US"/>
              </w:rPr>
              <w:t xml:space="preserve"> </w:t>
            </w:r>
          </w:p>
          <w:p>
            <w:pPr>
              <w:jc w:val="center"/>
              <w:rPr>
                <w:b/>
                <w:sz w:val="22"/>
                <w:szCs w:val="22"/>
                <w:lang w:val="en-US"/>
              </w:rPr>
            </w:pPr>
          </w:p>
        </w:tc>
      </w:tr>
      <w:tr>
        <w:tblPrEx>
          <w:tblLayout w:type="fixed"/>
          <w:tblCellMar>
            <w:top w:w="0" w:type="dxa"/>
            <w:left w:w="108" w:type="dxa"/>
            <w:bottom w:w="0" w:type="dxa"/>
            <w:right w:w="108" w:type="dxa"/>
          </w:tblCellMar>
        </w:tblPrEx>
        <w:tc>
          <w:tcPr>
            <w:tcW w:w="5032" w:type="dxa"/>
          </w:tcPr>
          <w:p>
            <w:pPr>
              <w:jc w:val="both"/>
              <w:rPr>
                <w:sz w:val="22"/>
                <w:szCs w:val="22"/>
              </w:rPr>
            </w:pPr>
            <w:r>
              <w:rPr>
                <w:sz w:val="22"/>
                <w:szCs w:val="22"/>
              </w:rPr>
              <w:t>___________________________, Россия, именуемое в дальнейшем «Поставщик», в лице директора _____________________________________, действующего на основании Устава, с одной стороны и компания</w:t>
            </w:r>
            <w:bookmarkStart w:id="0" w:name="_GoBack"/>
            <w:bookmarkEnd w:id="0"/>
            <w:r>
              <w:rPr>
                <w:rFonts w:eastAsia="SimSun"/>
                <w:sz w:val="22"/>
                <w:szCs w:val="22"/>
                <w:lang w:eastAsia="zh-CN"/>
              </w:rPr>
              <w:t xml:space="preserve">, </w:t>
            </w:r>
            <w:r>
              <w:rPr>
                <w:sz w:val="22"/>
                <w:szCs w:val="22"/>
              </w:rPr>
              <w:t>именуемая в дальнейшем «Приемщик», с другой стороны, заключили настоящий Контракт о нижеследующем:</w:t>
            </w:r>
          </w:p>
          <w:p>
            <w:pPr>
              <w:jc w:val="both"/>
              <w:rPr>
                <w:sz w:val="22"/>
                <w:szCs w:val="22"/>
              </w:rPr>
            </w:pPr>
          </w:p>
        </w:tc>
        <w:tc>
          <w:tcPr>
            <w:tcW w:w="5033" w:type="dxa"/>
          </w:tcPr>
          <w:p>
            <w:pPr>
              <w:jc w:val="both"/>
              <w:rPr>
                <w:sz w:val="22"/>
                <w:szCs w:val="22"/>
                <w:lang w:val="en-US"/>
              </w:rPr>
            </w:pPr>
            <w:r>
              <w:rPr>
                <w:sz w:val="22"/>
                <w:szCs w:val="22"/>
                <w:lang w:val="en-AU"/>
              </w:rPr>
              <w:t xml:space="preserve">_______________________________, </w:t>
            </w:r>
            <w:r>
              <w:rPr>
                <w:sz w:val="22"/>
                <w:szCs w:val="22"/>
                <w:lang w:val="en-US"/>
              </w:rPr>
              <w:t>Russia</w:t>
            </w:r>
            <w:r>
              <w:rPr>
                <w:sz w:val="22"/>
                <w:szCs w:val="22"/>
                <w:lang w:val="en-AU"/>
              </w:rPr>
              <w:t xml:space="preserve">, </w:t>
            </w:r>
            <w:r>
              <w:rPr>
                <w:sz w:val="22"/>
                <w:szCs w:val="22"/>
                <w:lang w:val="en-US"/>
              </w:rPr>
              <w:t>hereinafter</w:t>
            </w:r>
            <w:r>
              <w:rPr>
                <w:sz w:val="22"/>
                <w:szCs w:val="22"/>
                <w:lang w:val="en-AU"/>
              </w:rPr>
              <w:t xml:space="preserve"> </w:t>
            </w:r>
            <w:r>
              <w:rPr>
                <w:sz w:val="22"/>
                <w:szCs w:val="22"/>
                <w:lang w:val="en-US"/>
              </w:rPr>
              <w:t>referred</w:t>
            </w:r>
            <w:r>
              <w:rPr>
                <w:sz w:val="22"/>
                <w:szCs w:val="22"/>
                <w:lang w:val="en-AU"/>
              </w:rPr>
              <w:t xml:space="preserve"> </w:t>
            </w:r>
            <w:r>
              <w:rPr>
                <w:sz w:val="22"/>
                <w:szCs w:val="22"/>
                <w:lang w:val="en-US"/>
              </w:rPr>
              <w:t>to</w:t>
            </w:r>
            <w:r>
              <w:rPr>
                <w:sz w:val="22"/>
                <w:szCs w:val="22"/>
                <w:lang w:val="en-AU"/>
              </w:rPr>
              <w:t xml:space="preserve"> </w:t>
            </w:r>
            <w:r>
              <w:rPr>
                <w:sz w:val="22"/>
                <w:szCs w:val="22"/>
                <w:lang w:val="en-US"/>
              </w:rPr>
              <w:t>as</w:t>
            </w:r>
            <w:r>
              <w:rPr>
                <w:sz w:val="22"/>
                <w:szCs w:val="22"/>
                <w:lang w:val="en-AU"/>
              </w:rPr>
              <w:t xml:space="preserve"> «</w:t>
            </w:r>
            <w:r>
              <w:rPr>
                <w:sz w:val="22"/>
                <w:szCs w:val="22"/>
                <w:lang w:val="en-US"/>
              </w:rPr>
              <w:t>the</w:t>
            </w:r>
            <w:r>
              <w:rPr>
                <w:sz w:val="22"/>
                <w:szCs w:val="22"/>
                <w:lang w:val="en-AU"/>
              </w:rPr>
              <w:t xml:space="preserve"> </w:t>
            </w:r>
            <w:r>
              <w:rPr>
                <w:sz w:val="22"/>
                <w:szCs w:val="22"/>
                <w:lang w:val="en-US"/>
              </w:rPr>
              <w:t>Supplier</w:t>
            </w:r>
            <w:r>
              <w:rPr>
                <w:sz w:val="22"/>
                <w:szCs w:val="22"/>
                <w:lang w:val="en-AU"/>
              </w:rPr>
              <w:t xml:space="preserve">» </w:t>
            </w:r>
            <w:r>
              <w:rPr>
                <w:sz w:val="22"/>
                <w:szCs w:val="22"/>
                <w:lang w:val="en-AU" w:eastAsia="zh-CN"/>
              </w:rPr>
              <w:t>represented by the</w:t>
            </w:r>
            <w:r>
              <w:rPr>
                <w:sz w:val="22"/>
                <w:szCs w:val="22"/>
                <w:lang w:val="en-US"/>
              </w:rPr>
              <w:t xml:space="preserve"> director __________________________________ acting on the basis of the Articles of Association on the one hand an</w:t>
            </w:r>
            <w:r>
              <w:rPr>
                <w:rFonts w:eastAsia="SimSun"/>
                <w:sz w:val="22"/>
                <w:szCs w:val="22"/>
                <w:lang w:val="en-US" w:eastAsia="zh-CN"/>
              </w:rPr>
              <w:t xml:space="preserve">d </w:t>
            </w:r>
            <w:r>
              <w:rPr>
                <w:sz w:val="22"/>
                <w:szCs w:val="22"/>
                <w:lang w:val="en-US"/>
              </w:rPr>
              <w:t>, hereinafter referred to as «the Receiver », on the other hand have signed the present Contract on the following:</w:t>
            </w:r>
          </w:p>
          <w:p>
            <w:pPr>
              <w:pStyle w:val="29"/>
              <w:rPr>
                <w:sz w:val="22"/>
                <w:szCs w:val="22"/>
                <w:lang w:val="en-US"/>
              </w:rPr>
            </w:pPr>
          </w:p>
        </w:tc>
      </w:tr>
      <w:tr>
        <w:tblPrEx>
          <w:tblLayout w:type="fixed"/>
          <w:tblCellMar>
            <w:top w:w="0" w:type="dxa"/>
            <w:left w:w="108" w:type="dxa"/>
            <w:bottom w:w="0" w:type="dxa"/>
            <w:right w:w="108" w:type="dxa"/>
          </w:tblCellMar>
        </w:tblPrEx>
        <w:trPr>
          <w:trHeight w:val="328" w:hRule="atLeast"/>
        </w:trPr>
        <w:tc>
          <w:tcPr>
            <w:tcW w:w="5032" w:type="dxa"/>
          </w:tcPr>
          <w:p>
            <w:pPr>
              <w:pStyle w:val="30"/>
              <w:numPr>
                <w:ilvl w:val="0"/>
                <w:numId w:val="2"/>
              </w:numPr>
              <w:spacing w:line="240" w:lineRule="auto"/>
              <w:rPr>
                <w:rFonts w:ascii="Times New Roman" w:hAnsi="Times New Roman"/>
                <w:b/>
              </w:rPr>
            </w:pPr>
            <w:r>
              <w:rPr>
                <w:rFonts w:ascii="Times New Roman" w:hAnsi="Times New Roman"/>
                <w:b/>
              </w:rPr>
              <w:t>ПРЕДМЕТ КОНТРАКТА</w:t>
            </w:r>
          </w:p>
        </w:tc>
        <w:tc>
          <w:tcPr>
            <w:tcW w:w="5033" w:type="dxa"/>
          </w:tcPr>
          <w:p>
            <w:pPr>
              <w:pStyle w:val="29"/>
              <w:rPr>
                <w:kern w:val="24"/>
                <w:sz w:val="22"/>
                <w:szCs w:val="22"/>
                <w:lang w:val="en-US"/>
              </w:rPr>
            </w:pPr>
            <w:r>
              <w:rPr>
                <w:kern w:val="24"/>
                <w:sz w:val="22"/>
                <w:szCs w:val="22"/>
                <w:lang w:val="en-US"/>
              </w:rPr>
              <w:t>1. SUBJECT OF THE CONTRACT</w:t>
            </w:r>
          </w:p>
        </w:tc>
      </w:tr>
      <w:tr>
        <w:tblPrEx>
          <w:tblLayout w:type="fixed"/>
          <w:tblCellMar>
            <w:top w:w="0" w:type="dxa"/>
            <w:left w:w="108" w:type="dxa"/>
            <w:bottom w:w="0" w:type="dxa"/>
            <w:right w:w="108" w:type="dxa"/>
          </w:tblCellMar>
        </w:tblPrEx>
        <w:tc>
          <w:tcPr>
            <w:tcW w:w="5032" w:type="dxa"/>
          </w:tcPr>
          <w:p>
            <w:pPr>
              <w:pStyle w:val="30"/>
              <w:numPr>
                <w:ilvl w:val="1"/>
                <w:numId w:val="2"/>
              </w:numPr>
              <w:spacing w:line="240" w:lineRule="auto"/>
              <w:jc w:val="both"/>
              <w:rPr>
                <w:rFonts w:ascii="Times New Roman" w:hAnsi="Times New Roman"/>
              </w:rPr>
            </w:pPr>
            <w:r>
              <w:rPr>
                <w:rFonts w:ascii="Times New Roman" w:hAnsi="Times New Roman"/>
              </w:rPr>
              <w:t>Поставщик обязуется поставлять Приемщику, а Приемщик обязуется принимать готовую продукцию пищевой промышленности, именуемую далее «товар» и производить продажу на условиях настоящего Контракта.</w:t>
            </w:r>
          </w:p>
        </w:tc>
        <w:tc>
          <w:tcPr>
            <w:tcW w:w="5033" w:type="dxa"/>
          </w:tcPr>
          <w:p>
            <w:pPr>
              <w:pStyle w:val="29"/>
              <w:spacing w:after="200"/>
              <w:contextualSpacing/>
              <w:rPr>
                <w:b w:val="0"/>
                <w:sz w:val="22"/>
                <w:szCs w:val="22"/>
                <w:lang w:val="en-US"/>
              </w:rPr>
            </w:pPr>
            <w:r>
              <w:rPr>
                <w:b w:val="0"/>
                <w:sz w:val="22"/>
                <w:szCs w:val="22"/>
                <w:lang w:val="en-US"/>
              </w:rPr>
              <w:t xml:space="preserve">1.1 The Supplier undertakes to deliver   the </w:t>
            </w:r>
            <w:r>
              <w:rPr>
                <w:sz w:val="22"/>
                <w:szCs w:val="22"/>
                <w:lang w:val="en-US"/>
              </w:rPr>
              <w:t>Receiver</w:t>
            </w:r>
            <w:r>
              <w:rPr>
                <w:b w:val="0"/>
                <w:sz w:val="22"/>
                <w:szCs w:val="22"/>
                <w:lang w:val="en-US"/>
              </w:rPr>
              <w:t xml:space="preserve"> and the </w:t>
            </w:r>
            <w:r>
              <w:rPr>
                <w:sz w:val="22"/>
                <w:szCs w:val="22"/>
                <w:lang w:val="en-US"/>
              </w:rPr>
              <w:t>Receiver</w:t>
            </w:r>
            <w:r>
              <w:rPr>
                <w:b w:val="0"/>
                <w:sz w:val="22"/>
                <w:szCs w:val="22"/>
                <w:lang w:val="en-US"/>
              </w:rPr>
              <w:t xml:space="preserve"> must accept the finished products of food industry called hereinafter “Goods” and effect the sale under the conditions and terms of the present Contract.</w:t>
            </w:r>
          </w:p>
        </w:tc>
      </w:tr>
      <w:tr>
        <w:tblPrEx>
          <w:tblLayout w:type="fixed"/>
          <w:tblCellMar>
            <w:top w:w="0" w:type="dxa"/>
            <w:left w:w="108" w:type="dxa"/>
            <w:bottom w:w="0" w:type="dxa"/>
            <w:right w:w="108" w:type="dxa"/>
          </w:tblCellMar>
        </w:tblPrEx>
        <w:tc>
          <w:tcPr>
            <w:tcW w:w="5032" w:type="dxa"/>
          </w:tcPr>
          <w:p>
            <w:pPr>
              <w:pStyle w:val="30"/>
              <w:numPr>
                <w:ilvl w:val="1"/>
                <w:numId w:val="2"/>
              </w:numPr>
              <w:spacing w:line="240" w:lineRule="auto"/>
              <w:jc w:val="both"/>
              <w:rPr>
                <w:rFonts w:ascii="Times New Roman" w:hAnsi="Times New Roman"/>
              </w:rPr>
            </w:pPr>
            <w:r>
              <w:rPr>
                <w:rFonts w:ascii="Times New Roman" w:hAnsi="Times New Roman"/>
              </w:rPr>
              <w:t>Предметом поставки является Товар, указанный в Спецификациях, являющихся приложениями к настоящему Контракту.  Спецификация на каждую поставку должна быть согласована и подписана обеими Сторонами.</w:t>
            </w:r>
          </w:p>
        </w:tc>
        <w:tc>
          <w:tcPr>
            <w:tcW w:w="5033" w:type="dxa"/>
          </w:tcPr>
          <w:p>
            <w:pPr>
              <w:spacing w:after="200"/>
              <w:contextualSpacing/>
              <w:rPr>
                <w:kern w:val="20"/>
                <w:sz w:val="22"/>
                <w:szCs w:val="22"/>
                <w:lang w:val="en-US"/>
              </w:rPr>
            </w:pPr>
            <w:r>
              <w:rPr>
                <w:kern w:val="20"/>
                <w:sz w:val="22"/>
                <w:szCs w:val="22"/>
                <w:lang w:val="en-US"/>
              </w:rPr>
              <w:t xml:space="preserve">1.2 An object of supplying are the Goods stated in the Specifications attached to this Contract. The specification for each delivery must be agreed upon with and signed by both Parties. </w:t>
            </w:r>
          </w:p>
        </w:tc>
      </w:tr>
      <w:tr>
        <w:tblPrEx>
          <w:tblLayout w:type="fixed"/>
          <w:tblCellMar>
            <w:top w:w="0" w:type="dxa"/>
            <w:left w:w="108" w:type="dxa"/>
            <w:bottom w:w="0" w:type="dxa"/>
            <w:right w:w="108" w:type="dxa"/>
          </w:tblCellMar>
        </w:tblPrEx>
        <w:trPr>
          <w:trHeight w:val="70" w:hRule="atLeast"/>
        </w:trPr>
        <w:tc>
          <w:tcPr>
            <w:tcW w:w="5032" w:type="dxa"/>
          </w:tcPr>
          <w:p>
            <w:pPr>
              <w:pStyle w:val="30"/>
              <w:numPr>
                <w:ilvl w:val="1"/>
                <w:numId w:val="2"/>
              </w:numPr>
              <w:spacing w:line="240" w:lineRule="auto"/>
              <w:jc w:val="both"/>
              <w:rPr>
                <w:rFonts w:ascii="Times New Roman" w:hAnsi="Times New Roman"/>
              </w:rPr>
            </w:pPr>
            <w:r>
              <w:rPr>
                <w:rFonts w:ascii="Times New Roman" w:hAnsi="Times New Roman"/>
              </w:rPr>
              <w:t>Наименование товара, ассортимент, количество, единицы измерения, цена за единицу измерения, общая сумма и другие дополнительные сведения, которые могут быть необходимыми для согласования условий настоящего Контракта, указываются в Спецификациях к настоящему Контракту, являющихся его неотъемлемой частью.</w:t>
            </w:r>
          </w:p>
        </w:tc>
        <w:tc>
          <w:tcPr>
            <w:tcW w:w="5033" w:type="dxa"/>
          </w:tcPr>
          <w:p>
            <w:pPr>
              <w:spacing w:after="200"/>
              <w:contextualSpacing/>
              <w:rPr>
                <w:b/>
                <w:kern w:val="20"/>
                <w:sz w:val="22"/>
                <w:szCs w:val="22"/>
                <w:lang w:val="en-US"/>
              </w:rPr>
            </w:pPr>
            <w:r>
              <w:rPr>
                <w:kern w:val="20"/>
                <w:sz w:val="22"/>
                <w:szCs w:val="22"/>
                <w:lang w:val="en-US"/>
              </w:rPr>
              <w:t>1.3 Description of goods, assortment, quantity, unit of measurement, price for unit measure, total amount and other further data to be required for approving the provisions of the Contract should be shown in the Specifications thereto. These specifications are integral part thereof.</w:t>
            </w:r>
          </w:p>
        </w:tc>
      </w:tr>
      <w:tr>
        <w:tblPrEx>
          <w:tblLayout w:type="fixed"/>
          <w:tblCellMar>
            <w:top w:w="0" w:type="dxa"/>
            <w:left w:w="108" w:type="dxa"/>
            <w:bottom w:w="0" w:type="dxa"/>
            <w:right w:w="108" w:type="dxa"/>
          </w:tblCellMar>
        </w:tblPrEx>
        <w:trPr>
          <w:trHeight w:val="70" w:hRule="atLeast"/>
        </w:trPr>
        <w:tc>
          <w:tcPr>
            <w:tcW w:w="5032" w:type="dxa"/>
          </w:tcPr>
          <w:p>
            <w:pPr>
              <w:pStyle w:val="30"/>
              <w:numPr>
                <w:ilvl w:val="0"/>
                <w:numId w:val="2"/>
              </w:numPr>
              <w:spacing w:line="240" w:lineRule="auto"/>
              <w:rPr>
                <w:rFonts w:ascii="Times New Roman" w:hAnsi="Times New Roman"/>
                <w:b/>
              </w:rPr>
            </w:pPr>
            <w:r>
              <w:rPr>
                <w:rFonts w:ascii="Times New Roman" w:hAnsi="Times New Roman"/>
                <w:b/>
              </w:rPr>
              <w:t>УСЛОВИЯ ПОСТАВКИ</w:t>
            </w:r>
          </w:p>
        </w:tc>
        <w:tc>
          <w:tcPr>
            <w:tcW w:w="5033" w:type="dxa"/>
          </w:tcPr>
          <w:p>
            <w:pPr>
              <w:jc w:val="center"/>
              <w:rPr>
                <w:kern w:val="20"/>
                <w:sz w:val="22"/>
                <w:szCs w:val="22"/>
              </w:rPr>
            </w:pPr>
            <w:r>
              <w:rPr>
                <w:b/>
                <w:sz w:val="22"/>
                <w:szCs w:val="22"/>
              </w:rPr>
              <w:t xml:space="preserve">2. </w:t>
            </w:r>
            <w:r>
              <w:rPr>
                <w:b/>
                <w:sz w:val="22"/>
                <w:szCs w:val="22"/>
                <w:lang w:val="en-US"/>
              </w:rPr>
              <w:t>DELIVERY TERMS</w:t>
            </w:r>
          </w:p>
        </w:tc>
      </w:tr>
      <w:tr>
        <w:tblPrEx>
          <w:tblLayout w:type="fixed"/>
          <w:tblCellMar>
            <w:top w:w="0" w:type="dxa"/>
            <w:left w:w="108" w:type="dxa"/>
            <w:bottom w:w="0" w:type="dxa"/>
            <w:right w:w="108" w:type="dxa"/>
          </w:tblCellMar>
        </w:tblPrEx>
        <w:trPr>
          <w:trHeight w:val="70" w:hRule="atLeast"/>
        </w:trPr>
        <w:tc>
          <w:tcPr>
            <w:tcW w:w="5032" w:type="dxa"/>
          </w:tcPr>
          <w:p>
            <w:pPr>
              <w:pStyle w:val="30"/>
              <w:spacing w:line="240" w:lineRule="auto"/>
              <w:ind w:left="360" w:hanging="326"/>
              <w:jc w:val="both"/>
              <w:rPr>
                <w:rFonts w:ascii="Times New Roman" w:hAnsi="Times New Roman"/>
              </w:rPr>
            </w:pPr>
            <w:r>
              <w:rPr>
                <w:rFonts w:ascii="Times New Roman" w:hAnsi="Times New Roman"/>
              </w:rPr>
              <w:t>2.2.Каждая партия товара должна быть передана Приемщику в течение  срока, указанного в соответствующей Спецификации к настоящему договору.</w:t>
            </w:r>
          </w:p>
        </w:tc>
        <w:tc>
          <w:tcPr>
            <w:tcW w:w="5033" w:type="dxa"/>
          </w:tcPr>
          <w:p>
            <w:pPr>
              <w:spacing w:after="200"/>
              <w:contextualSpacing/>
              <w:rPr>
                <w:b/>
                <w:kern w:val="20"/>
                <w:sz w:val="22"/>
                <w:szCs w:val="22"/>
                <w:lang w:val="en-US"/>
              </w:rPr>
            </w:pPr>
            <w:r>
              <w:rPr>
                <w:kern w:val="20"/>
                <w:sz w:val="22"/>
                <w:szCs w:val="22"/>
                <w:lang w:val="en-US"/>
              </w:rPr>
              <w:t>2.2 Each shipment of goods must be delivered to the Buyer within the period of time stated in th</w:t>
            </w:r>
            <w:r>
              <w:rPr>
                <w:kern w:val="20"/>
                <w:sz w:val="22"/>
                <w:szCs w:val="22"/>
              </w:rPr>
              <w:t>е</w:t>
            </w:r>
            <w:r>
              <w:rPr>
                <w:kern w:val="20"/>
                <w:sz w:val="22"/>
                <w:szCs w:val="22"/>
                <w:lang w:val="en-US"/>
              </w:rPr>
              <w:t xml:space="preserve"> appropriate Specification to the present contract. </w:t>
            </w:r>
          </w:p>
        </w:tc>
      </w:tr>
      <w:tr>
        <w:tblPrEx>
          <w:tblLayout w:type="fixed"/>
          <w:tblCellMar>
            <w:top w:w="0" w:type="dxa"/>
            <w:left w:w="108" w:type="dxa"/>
            <w:bottom w:w="0" w:type="dxa"/>
            <w:right w:w="108" w:type="dxa"/>
          </w:tblCellMar>
        </w:tblPrEx>
        <w:trPr>
          <w:trHeight w:val="70" w:hRule="atLeast"/>
        </w:trPr>
        <w:tc>
          <w:tcPr>
            <w:tcW w:w="5032" w:type="dxa"/>
          </w:tcPr>
          <w:p>
            <w:pPr>
              <w:pStyle w:val="30"/>
              <w:spacing w:line="240" w:lineRule="auto"/>
              <w:ind w:left="318" w:hanging="284"/>
              <w:jc w:val="both"/>
              <w:rPr>
                <w:rFonts w:ascii="Times New Roman" w:hAnsi="Times New Roman"/>
              </w:rPr>
            </w:pPr>
            <w:r>
              <w:rPr>
                <w:rFonts w:ascii="Times New Roman" w:hAnsi="Times New Roman"/>
              </w:rPr>
              <w:t>2.3.Поставщик обязан при отгрузке Товара предоставить следующие документы к товару:</w:t>
            </w:r>
          </w:p>
        </w:tc>
        <w:tc>
          <w:tcPr>
            <w:tcW w:w="5033" w:type="dxa"/>
          </w:tcPr>
          <w:p>
            <w:pPr>
              <w:spacing w:after="200"/>
              <w:contextualSpacing/>
              <w:rPr>
                <w:b/>
                <w:kern w:val="20"/>
                <w:sz w:val="22"/>
                <w:szCs w:val="22"/>
                <w:lang w:val="en-US"/>
              </w:rPr>
            </w:pPr>
            <w:r>
              <w:rPr>
                <w:kern w:val="20"/>
                <w:sz w:val="22"/>
                <w:szCs w:val="22"/>
                <w:lang w:val="en-US"/>
              </w:rPr>
              <w:t>2.3 During shipping of Goods the Supplier is obliged to submit the following documents  thereto:</w:t>
            </w:r>
          </w:p>
        </w:tc>
      </w:tr>
      <w:tr>
        <w:tblPrEx>
          <w:tblLayout w:type="fixed"/>
          <w:tblCellMar>
            <w:top w:w="0" w:type="dxa"/>
            <w:left w:w="108" w:type="dxa"/>
            <w:bottom w:w="0" w:type="dxa"/>
            <w:right w:w="108" w:type="dxa"/>
          </w:tblCellMar>
        </w:tblPrEx>
        <w:trPr>
          <w:trHeight w:val="70" w:hRule="atLeast"/>
        </w:trPr>
        <w:tc>
          <w:tcPr>
            <w:tcW w:w="5032" w:type="dxa"/>
          </w:tcPr>
          <w:p>
            <w:pPr>
              <w:pStyle w:val="30"/>
              <w:spacing w:line="240" w:lineRule="auto"/>
              <w:jc w:val="both"/>
              <w:rPr>
                <w:rFonts w:ascii="Times New Roman" w:hAnsi="Times New Roman"/>
              </w:rPr>
            </w:pPr>
            <w:r>
              <w:rPr>
                <w:rFonts w:ascii="Times New Roman" w:hAnsi="Times New Roman"/>
              </w:rPr>
              <w:t>- Счет-фактура (инвойс) – 3 экз. (оригинал)</w:t>
            </w:r>
          </w:p>
        </w:tc>
        <w:tc>
          <w:tcPr>
            <w:tcW w:w="5033" w:type="dxa"/>
          </w:tcPr>
          <w:p>
            <w:pPr>
              <w:pStyle w:val="10"/>
              <w:tabs>
                <w:tab w:val="clear" w:pos="4153"/>
                <w:tab w:val="clear" w:pos="8306"/>
              </w:tabs>
              <w:spacing w:after="200"/>
              <w:contextualSpacing/>
              <w:rPr>
                <w:kern w:val="20"/>
                <w:sz w:val="22"/>
                <w:szCs w:val="22"/>
              </w:rPr>
            </w:pPr>
            <w:r>
              <w:rPr>
                <w:kern w:val="20"/>
                <w:sz w:val="22"/>
                <w:szCs w:val="22"/>
              </w:rPr>
              <w:t xml:space="preserve">- </w:t>
            </w:r>
            <w:r>
              <w:rPr>
                <w:kern w:val="20"/>
                <w:sz w:val="22"/>
                <w:szCs w:val="22"/>
                <w:lang w:val="en-US"/>
              </w:rPr>
              <w:t>Invoice</w:t>
            </w:r>
            <w:r>
              <w:rPr>
                <w:kern w:val="20"/>
                <w:sz w:val="22"/>
                <w:szCs w:val="22"/>
              </w:rPr>
              <w:t xml:space="preserve"> – </w:t>
            </w:r>
            <w:r>
              <w:rPr>
                <w:kern w:val="20"/>
                <w:sz w:val="22"/>
                <w:szCs w:val="22"/>
                <w:lang w:val="en-US"/>
              </w:rPr>
              <w:t>(original) in triplicate</w:t>
            </w:r>
          </w:p>
        </w:tc>
      </w:tr>
      <w:tr>
        <w:tblPrEx>
          <w:tblLayout w:type="fixed"/>
          <w:tblCellMar>
            <w:top w:w="0" w:type="dxa"/>
            <w:left w:w="108" w:type="dxa"/>
            <w:bottom w:w="0" w:type="dxa"/>
            <w:right w:w="108" w:type="dxa"/>
          </w:tblCellMar>
        </w:tblPrEx>
        <w:trPr>
          <w:trHeight w:val="70" w:hRule="atLeast"/>
        </w:trPr>
        <w:tc>
          <w:tcPr>
            <w:tcW w:w="5032" w:type="dxa"/>
          </w:tcPr>
          <w:p>
            <w:pPr>
              <w:pStyle w:val="30"/>
              <w:spacing w:line="240" w:lineRule="auto"/>
              <w:jc w:val="both"/>
              <w:rPr>
                <w:rFonts w:ascii="Times New Roman" w:hAnsi="Times New Roman"/>
              </w:rPr>
            </w:pPr>
            <w:r>
              <w:rPr>
                <w:rFonts w:ascii="Times New Roman" w:hAnsi="Times New Roman"/>
              </w:rPr>
              <w:t>- Сертификат качества, выданный заводом-производителем – 2 экз.</w:t>
            </w:r>
          </w:p>
        </w:tc>
        <w:tc>
          <w:tcPr>
            <w:tcW w:w="5033" w:type="dxa"/>
          </w:tcPr>
          <w:p>
            <w:pPr>
              <w:spacing w:after="200"/>
              <w:contextualSpacing/>
              <w:rPr>
                <w:b/>
                <w:kern w:val="20"/>
                <w:sz w:val="22"/>
                <w:szCs w:val="22"/>
                <w:lang w:val="en-US"/>
              </w:rPr>
            </w:pPr>
            <w:r>
              <w:rPr>
                <w:kern w:val="20"/>
                <w:sz w:val="22"/>
                <w:szCs w:val="22"/>
                <w:lang w:val="en-US"/>
              </w:rPr>
              <w:t>- Quality certificate issued by manufacturing works – in duplicate</w:t>
            </w:r>
          </w:p>
        </w:tc>
      </w:tr>
      <w:tr>
        <w:tblPrEx>
          <w:tblLayout w:type="fixed"/>
          <w:tblCellMar>
            <w:top w:w="0" w:type="dxa"/>
            <w:left w:w="108" w:type="dxa"/>
            <w:bottom w:w="0" w:type="dxa"/>
            <w:right w:w="108" w:type="dxa"/>
          </w:tblCellMar>
        </w:tblPrEx>
        <w:trPr>
          <w:trHeight w:val="70" w:hRule="atLeast"/>
        </w:trPr>
        <w:tc>
          <w:tcPr>
            <w:tcW w:w="5032" w:type="dxa"/>
          </w:tcPr>
          <w:p>
            <w:pPr>
              <w:pStyle w:val="30"/>
              <w:spacing w:line="240" w:lineRule="auto"/>
              <w:jc w:val="both"/>
              <w:rPr>
                <w:rFonts w:ascii="Times New Roman" w:hAnsi="Times New Roman"/>
              </w:rPr>
            </w:pPr>
            <w:r>
              <w:rPr>
                <w:rFonts w:ascii="Times New Roman" w:hAnsi="Times New Roman"/>
              </w:rPr>
              <w:t>- Упаковочный лист – 2 экз. (оригинал)</w:t>
            </w:r>
          </w:p>
        </w:tc>
        <w:tc>
          <w:tcPr>
            <w:tcW w:w="5033" w:type="dxa"/>
          </w:tcPr>
          <w:p>
            <w:pPr>
              <w:spacing w:after="200"/>
              <w:contextualSpacing/>
              <w:rPr>
                <w:color w:val="FF0000"/>
                <w:kern w:val="20"/>
                <w:sz w:val="22"/>
                <w:szCs w:val="22"/>
                <w:lang w:val="en-US"/>
              </w:rPr>
            </w:pPr>
            <w:r>
              <w:rPr>
                <w:kern w:val="20"/>
                <w:sz w:val="22"/>
                <w:szCs w:val="22"/>
                <w:lang w:val="en-US"/>
              </w:rPr>
              <w:t>- Packing list – in duplicate (originals)</w:t>
            </w:r>
          </w:p>
        </w:tc>
      </w:tr>
      <w:tr>
        <w:tblPrEx>
          <w:tblLayout w:type="fixed"/>
          <w:tblCellMar>
            <w:top w:w="0" w:type="dxa"/>
            <w:left w:w="108" w:type="dxa"/>
            <w:bottom w:w="0" w:type="dxa"/>
            <w:right w:w="108" w:type="dxa"/>
          </w:tblCellMar>
        </w:tblPrEx>
        <w:trPr>
          <w:trHeight w:val="70" w:hRule="atLeast"/>
        </w:trPr>
        <w:tc>
          <w:tcPr>
            <w:tcW w:w="5032" w:type="dxa"/>
          </w:tcPr>
          <w:p>
            <w:pPr>
              <w:pStyle w:val="30"/>
              <w:spacing w:line="240" w:lineRule="auto"/>
              <w:jc w:val="both"/>
              <w:rPr>
                <w:rFonts w:ascii="Times New Roman" w:hAnsi="Times New Roman"/>
              </w:rPr>
            </w:pPr>
            <w:r>
              <w:rPr>
                <w:rFonts w:ascii="Times New Roman" w:hAnsi="Times New Roman"/>
              </w:rPr>
              <w:t>- Сертификат происхождения– 1 экз. (оригинал)</w:t>
            </w:r>
          </w:p>
        </w:tc>
        <w:tc>
          <w:tcPr>
            <w:tcW w:w="5033" w:type="dxa"/>
          </w:tcPr>
          <w:p>
            <w:pPr>
              <w:spacing w:after="200"/>
              <w:contextualSpacing/>
              <w:rPr>
                <w:b/>
                <w:kern w:val="20"/>
                <w:sz w:val="22"/>
                <w:szCs w:val="22"/>
                <w:lang w:val="en-US"/>
              </w:rPr>
            </w:pPr>
            <w:r>
              <w:rPr>
                <w:kern w:val="20"/>
                <w:sz w:val="22"/>
                <w:szCs w:val="22"/>
                <w:lang w:val="en-US"/>
              </w:rPr>
              <w:t>- Certificate of origin– 1 copy (original)</w:t>
            </w:r>
          </w:p>
        </w:tc>
      </w:tr>
      <w:tr>
        <w:tblPrEx>
          <w:tblLayout w:type="fixed"/>
          <w:tblCellMar>
            <w:top w:w="0" w:type="dxa"/>
            <w:left w:w="108" w:type="dxa"/>
            <w:bottom w:w="0" w:type="dxa"/>
            <w:right w:w="108" w:type="dxa"/>
          </w:tblCellMar>
        </w:tblPrEx>
        <w:trPr>
          <w:trHeight w:val="70" w:hRule="atLeast"/>
        </w:trPr>
        <w:tc>
          <w:tcPr>
            <w:tcW w:w="5032" w:type="dxa"/>
          </w:tcPr>
          <w:p>
            <w:pPr>
              <w:pStyle w:val="30"/>
              <w:spacing w:line="240" w:lineRule="auto"/>
              <w:jc w:val="both"/>
              <w:rPr>
                <w:rFonts w:ascii="Times New Roman" w:hAnsi="Times New Roman"/>
              </w:rPr>
            </w:pPr>
            <w:r>
              <w:rPr>
                <w:rFonts w:ascii="Times New Roman" w:hAnsi="Times New Roman"/>
              </w:rPr>
              <w:t>- Товарно-транспортная накладная – 2 экз.</w:t>
            </w:r>
          </w:p>
        </w:tc>
        <w:tc>
          <w:tcPr>
            <w:tcW w:w="5033" w:type="dxa"/>
          </w:tcPr>
          <w:p>
            <w:pPr>
              <w:pStyle w:val="10"/>
              <w:tabs>
                <w:tab w:val="clear" w:pos="4153"/>
                <w:tab w:val="clear" w:pos="8306"/>
              </w:tabs>
              <w:spacing w:after="200"/>
              <w:contextualSpacing/>
              <w:rPr>
                <w:kern w:val="20"/>
                <w:sz w:val="22"/>
                <w:szCs w:val="22"/>
                <w:lang w:val="en-US"/>
              </w:rPr>
            </w:pPr>
            <w:r>
              <w:rPr>
                <w:kern w:val="20"/>
                <w:sz w:val="22"/>
                <w:szCs w:val="22"/>
                <w:lang w:val="en-US"/>
              </w:rPr>
              <w:t>- Waybill – in duplicate.</w:t>
            </w:r>
          </w:p>
        </w:tc>
      </w:tr>
      <w:tr>
        <w:tblPrEx>
          <w:tblLayout w:type="fixed"/>
          <w:tblCellMar>
            <w:top w:w="0" w:type="dxa"/>
            <w:left w:w="108" w:type="dxa"/>
            <w:bottom w:w="0" w:type="dxa"/>
            <w:right w:w="108" w:type="dxa"/>
          </w:tblCellMar>
        </w:tblPrEx>
        <w:trPr>
          <w:trHeight w:val="70" w:hRule="atLeast"/>
        </w:trPr>
        <w:tc>
          <w:tcPr>
            <w:tcW w:w="5032" w:type="dxa"/>
          </w:tcPr>
          <w:p>
            <w:pPr>
              <w:pStyle w:val="30"/>
              <w:spacing w:line="240" w:lineRule="auto"/>
              <w:jc w:val="both"/>
              <w:rPr>
                <w:rFonts w:ascii="Times New Roman" w:hAnsi="Times New Roman"/>
              </w:rPr>
            </w:pPr>
            <w:r>
              <w:rPr>
                <w:rFonts w:ascii="Times New Roman" w:hAnsi="Times New Roman"/>
              </w:rPr>
              <w:t>- Декларация на товары – 1 экз.</w:t>
            </w:r>
          </w:p>
        </w:tc>
        <w:tc>
          <w:tcPr>
            <w:tcW w:w="5033" w:type="dxa"/>
          </w:tcPr>
          <w:p>
            <w:pPr>
              <w:spacing w:after="200"/>
              <w:contextualSpacing/>
              <w:rPr>
                <w:b/>
                <w:kern w:val="20"/>
                <w:sz w:val="22"/>
                <w:szCs w:val="22"/>
                <w:lang w:val="en-US"/>
              </w:rPr>
            </w:pPr>
            <w:r>
              <w:rPr>
                <w:kern w:val="20"/>
                <w:sz w:val="22"/>
                <w:szCs w:val="22"/>
              </w:rPr>
              <w:t xml:space="preserve">- </w:t>
            </w:r>
            <w:r>
              <w:rPr>
                <w:kern w:val="20"/>
                <w:sz w:val="22"/>
                <w:szCs w:val="22"/>
                <w:lang w:val="en-US"/>
              </w:rPr>
              <w:t>Declaration for goods</w:t>
            </w:r>
            <w:r>
              <w:rPr>
                <w:kern w:val="20"/>
                <w:sz w:val="22"/>
                <w:szCs w:val="22"/>
              </w:rPr>
              <w:t xml:space="preserve"> – 1 </w:t>
            </w:r>
            <w:r>
              <w:rPr>
                <w:kern w:val="20"/>
                <w:sz w:val="22"/>
                <w:szCs w:val="22"/>
                <w:lang w:val="en-US"/>
              </w:rPr>
              <w:t>copy.</w:t>
            </w:r>
          </w:p>
        </w:tc>
      </w:tr>
      <w:tr>
        <w:tblPrEx>
          <w:tblLayout w:type="fixed"/>
          <w:tblCellMar>
            <w:top w:w="0" w:type="dxa"/>
            <w:left w:w="108" w:type="dxa"/>
            <w:bottom w:w="0" w:type="dxa"/>
            <w:right w:w="108" w:type="dxa"/>
          </w:tblCellMar>
        </w:tblPrEx>
        <w:tc>
          <w:tcPr>
            <w:tcW w:w="5032" w:type="dxa"/>
          </w:tcPr>
          <w:p>
            <w:pPr>
              <w:pStyle w:val="30"/>
              <w:numPr>
                <w:ilvl w:val="0"/>
                <w:numId w:val="2"/>
              </w:numPr>
              <w:tabs>
                <w:tab w:val="left" w:pos="290"/>
              </w:tabs>
              <w:spacing w:line="240" w:lineRule="auto"/>
              <w:ind w:left="290" w:hanging="290"/>
              <w:rPr>
                <w:rFonts w:ascii="Times New Roman" w:hAnsi="Times New Roman"/>
              </w:rPr>
            </w:pPr>
            <w:r>
              <w:rPr>
                <w:rFonts w:ascii="Times New Roman" w:hAnsi="Times New Roman"/>
                <w:b/>
              </w:rPr>
              <w:t>КАЧЕСТВО И ГАРАНТИЯ</w:t>
            </w:r>
          </w:p>
        </w:tc>
        <w:tc>
          <w:tcPr>
            <w:tcW w:w="5033" w:type="dxa"/>
          </w:tcPr>
          <w:p>
            <w:pPr>
              <w:spacing w:after="200"/>
              <w:contextualSpacing/>
              <w:jc w:val="center"/>
              <w:rPr>
                <w:sz w:val="22"/>
                <w:szCs w:val="22"/>
              </w:rPr>
            </w:pPr>
            <w:r>
              <w:rPr>
                <w:b/>
                <w:sz w:val="22"/>
                <w:szCs w:val="22"/>
              </w:rPr>
              <w:t xml:space="preserve">3. </w:t>
            </w:r>
            <w:r>
              <w:rPr>
                <w:b/>
                <w:sz w:val="22"/>
                <w:szCs w:val="22"/>
                <w:lang w:val="en-US"/>
              </w:rPr>
              <w:t>QUALITY AND WARRANTY</w:t>
            </w:r>
          </w:p>
        </w:tc>
      </w:tr>
      <w:tr>
        <w:tblPrEx>
          <w:tblLayout w:type="fixed"/>
          <w:tblCellMar>
            <w:top w:w="0" w:type="dxa"/>
            <w:left w:w="108" w:type="dxa"/>
            <w:bottom w:w="0" w:type="dxa"/>
            <w:right w:w="108" w:type="dxa"/>
          </w:tblCellMar>
        </w:tblPrEx>
        <w:tc>
          <w:tcPr>
            <w:tcW w:w="5032" w:type="dxa"/>
          </w:tcPr>
          <w:p>
            <w:pPr>
              <w:pStyle w:val="30"/>
              <w:spacing w:line="240" w:lineRule="auto"/>
              <w:ind w:left="0"/>
              <w:jc w:val="both"/>
              <w:rPr>
                <w:rFonts w:ascii="Times New Roman" w:hAnsi="Times New Roman"/>
              </w:rPr>
            </w:pPr>
            <w:r>
              <w:rPr>
                <w:rFonts w:ascii="Times New Roman" w:hAnsi="Times New Roman"/>
              </w:rPr>
              <w:t>3.1Подтверждение качества со стороны поставщика является сертификат качества, выданный производителем Товара. Качество товара должно соответствовать выданному сертификату качества производителя.</w:t>
            </w:r>
          </w:p>
        </w:tc>
        <w:tc>
          <w:tcPr>
            <w:tcW w:w="5033" w:type="dxa"/>
          </w:tcPr>
          <w:p>
            <w:pPr>
              <w:spacing w:after="200"/>
              <w:contextualSpacing/>
              <w:rPr>
                <w:kern w:val="20"/>
                <w:sz w:val="22"/>
                <w:szCs w:val="22"/>
                <w:lang w:val="en-US"/>
              </w:rPr>
            </w:pPr>
            <w:r>
              <w:rPr>
                <w:kern w:val="20"/>
                <w:sz w:val="22"/>
                <w:szCs w:val="22"/>
                <w:lang w:val="en-US"/>
              </w:rPr>
              <w:t>3.1 The supplier confirms the quality of goods by presenting the quality certificate issued by the producer. The quality of goods should conform to the quality certificate of the mentioned producer.</w:t>
            </w:r>
          </w:p>
        </w:tc>
      </w:tr>
      <w:tr>
        <w:tblPrEx>
          <w:tblLayout w:type="fixed"/>
          <w:tblCellMar>
            <w:top w:w="0" w:type="dxa"/>
            <w:left w:w="108" w:type="dxa"/>
            <w:bottom w:w="0" w:type="dxa"/>
            <w:right w:w="108" w:type="dxa"/>
          </w:tblCellMar>
        </w:tblPrEx>
        <w:tc>
          <w:tcPr>
            <w:tcW w:w="5032" w:type="dxa"/>
          </w:tcPr>
          <w:p>
            <w:pPr>
              <w:pStyle w:val="30"/>
              <w:spacing w:line="240" w:lineRule="auto"/>
              <w:ind w:left="0"/>
              <w:jc w:val="both"/>
              <w:rPr>
                <w:rFonts w:ascii="Times New Roman" w:hAnsi="Times New Roman"/>
              </w:rPr>
            </w:pPr>
            <w:r>
              <w:rPr>
                <w:rFonts w:ascii="Times New Roman" w:hAnsi="Times New Roman"/>
              </w:rPr>
              <w:t>3,2 Если после прибытия товара на место назначения будет обнаружено, что его качество не является стандартным, Приемщик имеет право на основании инспекционного сертификата, выданного китайским карантинно-инспекционным Управлением по контролю о поступлении и выбытии товаров (</w:t>
            </w:r>
            <w:r>
              <w:rPr>
                <w:rFonts w:ascii="Times New Roman" w:hAnsi="Times New Roman"/>
                <w:lang w:val="en-US"/>
              </w:rPr>
              <w:t>CIQ</w:t>
            </w:r>
            <w:r>
              <w:rPr>
                <w:rFonts w:ascii="Times New Roman" w:hAnsi="Times New Roman"/>
              </w:rPr>
              <w:t>), затребовать компенсацию и Поставщик должен нести все соответствующие расходы (например, инспекционные издержки).</w:t>
            </w:r>
          </w:p>
        </w:tc>
        <w:tc>
          <w:tcPr>
            <w:tcW w:w="5033" w:type="dxa"/>
          </w:tcPr>
          <w:p>
            <w:pPr>
              <w:spacing w:after="200"/>
              <w:contextualSpacing/>
              <w:rPr>
                <w:kern w:val="20"/>
                <w:sz w:val="22"/>
                <w:szCs w:val="22"/>
                <w:lang w:val="en-US"/>
              </w:rPr>
            </w:pPr>
            <w:r>
              <w:rPr>
                <w:rFonts w:eastAsia="SimSun"/>
                <w:kern w:val="20"/>
                <w:sz w:val="22"/>
                <w:szCs w:val="22"/>
                <w:lang w:val="en-US" w:eastAsia="zh-CN"/>
              </w:rPr>
              <w:t>3.2 Should the quality of Goods be found substandard a</w:t>
            </w:r>
            <w:r>
              <w:rPr>
                <w:kern w:val="20"/>
                <w:sz w:val="22"/>
                <w:szCs w:val="22"/>
                <w:lang w:val="en-US"/>
              </w:rPr>
              <w:t>fter its arrival at destination,  the Receiver is entitled by virtue of  the inspection certificate issued by the China Inspection Quarantine Bureau for entry and exit Commodity (CIQ) to claim for compensation and all the expenses (such as inspection charges etc.) shall be borne by the Supplier.</w:t>
            </w:r>
          </w:p>
        </w:tc>
      </w:tr>
      <w:tr>
        <w:tblPrEx>
          <w:tblLayout w:type="fixed"/>
          <w:tblCellMar>
            <w:top w:w="0" w:type="dxa"/>
            <w:left w:w="108" w:type="dxa"/>
            <w:bottom w:w="0" w:type="dxa"/>
            <w:right w:w="108" w:type="dxa"/>
          </w:tblCellMar>
        </w:tblPrEx>
        <w:tc>
          <w:tcPr>
            <w:tcW w:w="5032" w:type="dxa"/>
          </w:tcPr>
          <w:p>
            <w:pPr>
              <w:pStyle w:val="30"/>
              <w:numPr>
                <w:ilvl w:val="0"/>
                <w:numId w:val="2"/>
              </w:numPr>
              <w:spacing w:line="240" w:lineRule="auto"/>
              <w:ind w:left="431" w:hanging="283"/>
              <w:rPr>
                <w:rFonts w:ascii="Times New Roman" w:hAnsi="Times New Roman"/>
              </w:rPr>
            </w:pPr>
            <w:r>
              <w:rPr>
                <w:rFonts w:ascii="Times New Roman" w:hAnsi="Times New Roman"/>
                <w:b/>
              </w:rPr>
              <w:t>УПАКОВКА И МАРКИРОВКА</w:t>
            </w:r>
          </w:p>
        </w:tc>
        <w:tc>
          <w:tcPr>
            <w:tcW w:w="5033" w:type="dxa"/>
          </w:tcPr>
          <w:p>
            <w:pPr>
              <w:spacing w:after="200"/>
              <w:ind w:left="360"/>
              <w:contextualSpacing/>
              <w:jc w:val="center"/>
              <w:rPr>
                <w:kern w:val="20"/>
                <w:sz w:val="22"/>
                <w:szCs w:val="22"/>
              </w:rPr>
            </w:pPr>
            <w:r>
              <w:rPr>
                <w:b/>
                <w:kern w:val="20"/>
                <w:sz w:val="22"/>
                <w:szCs w:val="22"/>
                <w:lang w:val="en-US"/>
              </w:rPr>
              <w:t>4. PACKING</w:t>
            </w:r>
            <w:r>
              <w:rPr>
                <w:b/>
                <w:kern w:val="20"/>
                <w:sz w:val="22"/>
                <w:szCs w:val="22"/>
              </w:rPr>
              <w:t xml:space="preserve"> </w:t>
            </w:r>
            <w:r>
              <w:rPr>
                <w:b/>
                <w:kern w:val="20"/>
                <w:sz w:val="22"/>
                <w:szCs w:val="22"/>
                <w:lang w:val="en-US"/>
              </w:rPr>
              <w:t>AND</w:t>
            </w:r>
            <w:r>
              <w:rPr>
                <w:b/>
                <w:kern w:val="20"/>
                <w:sz w:val="22"/>
                <w:szCs w:val="22"/>
              </w:rPr>
              <w:t xml:space="preserve"> </w:t>
            </w:r>
            <w:r>
              <w:rPr>
                <w:b/>
                <w:kern w:val="20"/>
                <w:sz w:val="22"/>
                <w:szCs w:val="22"/>
                <w:lang w:val="en-US"/>
              </w:rPr>
              <w:t>MARKING</w:t>
            </w:r>
          </w:p>
        </w:tc>
      </w:tr>
      <w:tr>
        <w:tblPrEx>
          <w:tblLayout w:type="fixed"/>
          <w:tblCellMar>
            <w:top w:w="0" w:type="dxa"/>
            <w:left w:w="108" w:type="dxa"/>
            <w:bottom w:w="0" w:type="dxa"/>
            <w:right w:w="108" w:type="dxa"/>
          </w:tblCellMar>
        </w:tblPrEx>
        <w:tc>
          <w:tcPr>
            <w:tcW w:w="5032" w:type="dxa"/>
          </w:tcPr>
          <w:p>
            <w:pPr>
              <w:pStyle w:val="30"/>
              <w:numPr>
                <w:ilvl w:val="1"/>
                <w:numId w:val="2"/>
              </w:numPr>
              <w:spacing w:line="240" w:lineRule="auto"/>
              <w:jc w:val="both"/>
              <w:rPr>
                <w:rFonts w:ascii="Times New Roman" w:hAnsi="Times New Roman"/>
              </w:rPr>
            </w:pPr>
            <w:r>
              <w:rPr>
                <w:rFonts w:ascii="Times New Roman" w:hAnsi="Times New Roman"/>
              </w:rPr>
              <w:t>Поставщик обязан отгрузить товар в экспортной упаковке соответствующей международным стандартам и подходящей для транспортировки, которая обеспечивала бы сохранность груза от всякого рода повреждений при перевозке различными видами транспорта.</w:t>
            </w:r>
          </w:p>
        </w:tc>
        <w:tc>
          <w:tcPr>
            <w:tcW w:w="5033" w:type="dxa"/>
          </w:tcPr>
          <w:p>
            <w:pPr>
              <w:spacing w:after="200"/>
              <w:contextualSpacing/>
              <w:rPr>
                <w:kern w:val="20"/>
                <w:sz w:val="22"/>
                <w:szCs w:val="22"/>
                <w:lang w:val="en-US"/>
              </w:rPr>
            </w:pPr>
            <w:r>
              <w:rPr>
                <w:kern w:val="20"/>
                <w:sz w:val="22"/>
                <w:szCs w:val="22"/>
                <w:lang w:val="en-US"/>
              </w:rPr>
              <w:t>4.1 The Supplier must dispatch the goods employing an export package corresponding to international standards and suitable for carriage. Such a packing should ensure an undamaged state of items in transit when different kinds of transportation will be used.</w:t>
            </w:r>
          </w:p>
        </w:tc>
      </w:tr>
      <w:tr>
        <w:tblPrEx>
          <w:tblLayout w:type="fixed"/>
          <w:tblCellMar>
            <w:top w:w="0" w:type="dxa"/>
            <w:left w:w="108" w:type="dxa"/>
            <w:bottom w:w="0" w:type="dxa"/>
            <w:right w:w="108" w:type="dxa"/>
          </w:tblCellMar>
        </w:tblPrEx>
        <w:tc>
          <w:tcPr>
            <w:tcW w:w="5032" w:type="dxa"/>
          </w:tcPr>
          <w:p>
            <w:pPr>
              <w:pStyle w:val="30"/>
              <w:numPr>
                <w:ilvl w:val="1"/>
                <w:numId w:val="2"/>
              </w:numPr>
              <w:spacing w:line="240" w:lineRule="auto"/>
              <w:jc w:val="both"/>
              <w:rPr>
                <w:rFonts w:ascii="Times New Roman" w:hAnsi="Times New Roman"/>
              </w:rPr>
            </w:pPr>
            <w:r>
              <w:rPr>
                <w:rFonts w:ascii="Times New Roman" w:hAnsi="Times New Roman"/>
                <w:lang w:val="en-US"/>
              </w:rPr>
              <w:t xml:space="preserve"> </w:t>
            </w:r>
            <w:r>
              <w:rPr>
                <w:rFonts w:ascii="Times New Roman" w:hAnsi="Times New Roman"/>
              </w:rPr>
              <w:t xml:space="preserve">Убытки, возникшие у Приемщика вследствие ненадлежащей упаковки, а также неправильной и недостаточной маркировки товара, могут быть возмещены Поставщиком в случае предоставления Приемщиком  рекламации, содержащей все необходимые сведения, подтверждающие достоверность данных обстоятельств. Величина убытков обязательно согласовывается Сторонами в претензионном порядке и оформляется соответствующим актом. </w:t>
            </w:r>
          </w:p>
        </w:tc>
        <w:tc>
          <w:tcPr>
            <w:tcW w:w="5033" w:type="dxa"/>
          </w:tcPr>
          <w:p>
            <w:pPr>
              <w:spacing w:after="200"/>
              <w:contextualSpacing/>
              <w:rPr>
                <w:b/>
                <w:kern w:val="20"/>
                <w:sz w:val="22"/>
                <w:szCs w:val="22"/>
                <w:lang w:val="en-US"/>
              </w:rPr>
            </w:pPr>
            <w:r>
              <w:rPr>
                <w:kern w:val="20"/>
                <w:sz w:val="22"/>
                <w:szCs w:val="22"/>
                <w:lang w:val="en-US"/>
              </w:rPr>
              <w:t>4.2 In case the Receiver will bear losses resulting from improper packing and incorrect or insufficient marking of the goods, so these damages can be indemnified by the Supplier after receiving from the Receiver the claim running all the necessary information which proves an accuracy of given circumstances. Extent of damage should be agreed without fail between the Parties using the complaint way and this must be shown in an appropriate Act.</w:t>
            </w:r>
          </w:p>
        </w:tc>
      </w:tr>
      <w:tr>
        <w:tblPrEx>
          <w:tblLayout w:type="fixed"/>
          <w:tblCellMar>
            <w:top w:w="0" w:type="dxa"/>
            <w:left w:w="108" w:type="dxa"/>
            <w:bottom w:w="0" w:type="dxa"/>
            <w:right w:w="108" w:type="dxa"/>
          </w:tblCellMar>
        </w:tblPrEx>
        <w:tc>
          <w:tcPr>
            <w:tcW w:w="5032" w:type="dxa"/>
          </w:tcPr>
          <w:p>
            <w:pPr>
              <w:pStyle w:val="30"/>
              <w:numPr>
                <w:ilvl w:val="1"/>
                <w:numId w:val="2"/>
              </w:numPr>
              <w:spacing w:line="240" w:lineRule="auto"/>
              <w:jc w:val="both"/>
              <w:rPr>
                <w:rFonts w:ascii="Times New Roman" w:hAnsi="Times New Roman"/>
              </w:rPr>
            </w:pPr>
            <w:r>
              <w:rPr>
                <w:rFonts w:ascii="Times New Roman" w:hAnsi="Times New Roman"/>
                <w:lang w:val="en-US"/>
              </w:rPr>
              <w:t xml:space="preserve"> </w:t>
            </w:r>
            <w:r>
              <w:rPr>
                <w:rFonts w:ascii="Times New Roman" w:hAnsi="Times New Roman"/>
              </w:rPr>
              <w:t>Каждое грузовое место должно иметь следующую маркировку:</w:t>
            </w:r>
          </w:p>
        </w:tc>
        <w:tc>
          <w:tcPr>
            <w:tcW w:w="5033" w:type="dxa"/>
          </w:tcPr>
          <w:p>
            <w:pPr>
              <w:rPr>
                <w:kern w:val="20"/>
                <w:sz w:val="22"/>
                <w:szCs w:val="22"/>
                <w:lang w:val="en-US"/>
              </w:rPr>
            </w:pPr>
            <w:r>
              <w:rPr>
                <w:kern w:val="20"/>
                <w:sz w:val="22"/>
                <w:szCs w:val="22"/>
                <w:lang w:val="en-US"/>
              </w:rPr>
              <w:t>4.3 Each cargo package must have a following marking:</w:t>
            </w:r>
          </w:p>
        </w:tc>
      </w:tr>
      <w:tr>
        <w:tblPrEx>
          <w:tblLayout w:type="fixed"/>
          <w:tblCellMar>
            <w:top w:w="0" w:type="dxa"/>
            <w:left w:w="108" w:type="dxa"/>
            <w:bottom w:w="0" w:type="dxa"/>
            <w:right w:w="108" w:type="dxa"/>
          </w:tblCellMar>
        </w:tblPrEx>
        <w:tc>
          <w:tcPr>
            <w:tcW w:w="5032" w:type="dxa"/>
          </w:tcPr>
          <w:p>
            <w:pPr>
              <w:pStyle w:val="30"/>
              <w:spacing w:line="240" w:lineRule="auto"/>
              <w:jc w:val="both"/>
              <w:rPr>
                <w:rFonts w:ascii="Times New Roman" w:hAnsi="Times New Roman"/>
              </w:rPr>
            </w:pPr>
            <w:r>
              <w:rPr>
                <w:rFonts w:ascii="Times New Roman" w:hAnsi="Times New Roman"/>
              </w:rPr>
              <w:t>- количество;</w:t>
            </w:r>
          </w:p>
        </w:tc>
        <w:tc>
          <w:tcPr>
            <w:tcW w:w="5033" w:type="dxa"/>
          </w:tcPr>
          <w:p>
            <w:pPr>
              <w:rPr>
                <w:kern w:val="20"/>
                <w:sz w:val="22"/>
                <w:szCs w:val="22"/>
                <w:lang w:val="en-US"/>
              </w:rPr>
            </w:pPr>
            <w:r>
              <w:rPr>
                <w:kern w:val="20"/>
                <w:sz w:val="22"/>
                <w:szCs w:val="22"/>
              </w:rPr>
              <w:t xml:space="preserve">- </w:t>
            </w:r>
            <w:r>
              <w:rPr>
                <w:kern w:val="20"/>
                <w:sz w:val="22"/>
                <w:szCs w:val="22"/>
                <w:lang w:val="en-US"/>
              </w:rPr>
              <w:t>quantity</w:t>
            </w:r>
            <w:r>
              <w:rPr>
                <w:kern w:val="20"/>
                <w:sz w:val="22"/>
                <w:szCs w:val="22"/>
              </w:rPr>
              <w:t>;</w:t>
            </w:r>
          </w:p>
        </w:tc>
      </w:tr>
      <w:tr>
        <w:tblPrEx>
          <w:tblLayout w:type="fixed"/>
          <w:tblCellMar>
            <w:top w:w="0" w:type="dxa"/>
            <w:left w:w="108" w:type="dxa"/>
            <w:bottom w:w="0" w:type="dxa"/>
            <w:right w:w="108" w:type="dxa"/>
          </w:tblCellMar>
        </w:tblPrEx>
        <w:tc>
          <w:tcPr>
            <w:tcW w:w="5032" w:type="dxa"/>
          </w:tcPr>
          <w:p>
            <w:pPr>
              <w:pStyle w:val="30"/>
              <w:spacing w:line="240" w:lineRule="auto"/>
              <w:jc w:val="both"/>
              <w:rPr>
                <w:rFonts w:ascii="Times New Roman" w:hAnsi="Times New Roman"/>
              </w:rPr>
            </w:pPr>
            <w:r>
              <w:rPr>
                <w:rFonts w:ascii="Times New Roman" w:hAnsi="Times New Roman"/>
              </w:rPr>
              <w:t>- наименование товара;</w:t>
            </w:r>
          </w:p>
        </w:tc>
        <w:tc>
          <w:tcPr>
            <w:tcW w:w="5033" w:type="dxa"/>
          </w:tcPr>
          <w:p>
            <w:pPr>
              <w:rPr>
                <w:kern w:val="20"/>
                <w:sz w:val="22"/>
                <w:szCs w:val="22"/>
                <w:lang w:val="en-US"/>
              </w:rPr>
            </w:pPr>
            <w:r>
              <w:rPr>
                <w:kern w:val="20"/>
                <w:sz w:val="22"/>
                <w:szCs w:val="22"/>
              </w:rPr>
              <w:t xml:space="preserve">- </w:t>
            </w:r>
            <w:r>
              <w:rPr>
                <w:kern w:val="20"/>
                <w:sz w:val="22"/>
                <w:szCs w:val="22"/>
                <w:lang w:val="en-US"/>
              </w:rPr>
              <w:t>description of goods</w:t>
            </w:r>
            <w:r>
              <w:rPr>
                <w:kern w:val="20"/>
                <w:sz w:val="22"/>
                <w:szCs w:val="22"/>
              </w:rPr>
              <w:t>;</w:t>
            </w:r>
          </w:p>
        </w:tc>
      </w:tr>
      <w:tr>
        <w:tblPrEx>
          <w:tblLayout w:type="fixed"/>
          <w:tblCellMar>
            <w:top w:w="0" w:type="dxa"/>
            <w:left w:w="108" w:type="dxa"/>
            <w:bottom w:w="0" w:type="dxa"/>
            <w:right w:w="108" w:type="dxa"/>
          </w:tblCellMar>
        </w:tblPrEx>
        <w:trPr>
          <w:trHeight w:val="529" w:hRule="atLeast"/>
        </w:trPr>
        <w:tc>
          <w:tcPr>
            <w:tcW w:w="5032" w:type="dxa"/>
          </w:tcPr>
          <w:p>
            <w:pPr>
              <w:pStyle w:val="30"/>
              <w:spacing w:line="240" w:lineRule="auto"/>
              <w:jc w:val="both"/>
              <w:rPr>
                <w:rFonts w:ascii="Times New Roman" w:hAnsi="Times New Roman"/>
              </w:rPr>
            </w:pPr>
            <w:r>
              <w:rPr>
                <w:rFonts w:ascii="Times New Roman" w:hAnsi="Times New Roman"/>
              </w:rPr>
              <w:t>- производитель товара;</w:t>
            </w:r>
          </w:p>
        </w:tc>
        <w:tc>
          <w:tcPr>
            <w:tcW w:w="5033" w:type="dxa"/>
          </w:tcPr>
          <w:p>
            <w:pPr>
              <w:pStyle w:val="10"/>
              <w:tabs>
                <w:tab w:val="clear" w:pos="4153"/>
                <w:tab w:val="clear" w:pos="8306"/>
              </w:tabs>
              <w:rPr>
                <w:kern w:val="20"/>
                <w:sz w:val="22"/>
                <w:szCs w:val="22"/>
                <w:lang w:val="en-US"/>
              </w:rPr>
            </w:pPr>
            <w:r>
              <w:rPr>
                <w:kern w:val="20"/>
                <w:sz w:val="22"/>
                <w:szCs w:val="22"/>
              </w:rPr>
              <w:t xml:space="preserve">- </w:t>
            </w:r>
            <w:r>
              <w:rPr>
                <w:kern w:val="20"/>
                <w:sz w:val="22"/>
                <w:szCs w:val="22"/>
                <w:lang w:val="en-US"/>
              </w:rPr>
              <w:t>producer of goods</w:t>
            </w:r>
            <w:r>
              <w:rPr>
                <w:kern w:val="20"/>
                <w:sz w:val="22"/>
                <w:szCs w:val="22"/>
              </w:rPr>
              <w:t>;</w:t>
            </w:r>
          </w:p>
        </w:tc>
      </w:tr>
      <w:tr>
        <w:tblPrEx>
          <w:tblLayout w:type="fixed"/>
          <w:tblCellMar>
            <w:top w:w="0" w:type="dxa"/>
            <w:left w:w="108" w:type="dxa"/>
            <w:bottom w:w="0" w:type="dxa"/>
            <w:right w:w="108" w:type="dxa"/>
          </w:tblCellMar>
        </w:tblPrEx>
        <w:tc>
          <w:tcPr>
            <w:tcW w:w="5032" w:type="dxa"/>
          </w:tcPr>
          <w:p>
            <w:pPr>
              <w:pStyle w:val="30"/>
              <w:spacing w:line="240" w:lineRule="auto"/>
              <w:jc w:val="both"/>
              <w:rPr>
                <w:rFonts w:ascii="Times New Roman" w:hAnsi="Times New Roman"/>
              </w:rPr>
            </w:pPr>
            <w:r>
              <w:rPr>
                <w:rFonts w:ascii="Times New Roman" w:hAnsi="Times New Roman"/>
              </w:rPr>
              <w:t>- дата производства;</w:t>
            </w:r>
          </w:p>
        </w:tc>
        <w:tc>
          <w:tcPr>
            <w:tcW w:w="5033" w:type="dxa"/>
          </w:tcPr>
          <w:p>
            <w:pPr>
              <w:pStyle w:val="10"/>
              <w:tabs>
                <w:tab w:val="clear" w:pos="4153"/>
                <w:tab w:val="clear" w:pos="8306"/>
              </w:tabs>
              <w:rPr>
                <w:kern w:val="20"/>
                <w:sz w:val="22"/>
                <w:szCs w:val="22"/>
                <w:lang w:val="en-US"/>
              </w:rPr>
            </w:pPr>
            <w:r>
              <w:rPr>
                <w:kern w:val="20"/>
                <w:sz w:val="22"/>
                <w:szCs w:val="22"/>
              </w:rPr>
              <w:t xml:space="preserve">- </w:t>
            </w:r>
            <w:r>
              <w:rPr>
                <w:kern w:val="20"/>
                <w:sz w:val="22"/>
                <w:szCs w:val="22"/>
                <w:lang w:val="en-US"/>
              </w:rPr>
              <w:t>manufacturing date</w:t>
            </w:r>
            <w:r>
              <w:rPr>
                <w:kern w:val="20"/>
                <w:sz w:val="22"/>
                <w:szCs w:val="22"/>
              </w:rPr>
              <w:t>;</w:t>
            </w:r>
          </w:p>
        </w:tc>
      </w:tr>
      <w:tr>
        <w:tblPrEx>
          <w:tblLayout w:type="fixed"/>
          <w:tblCellMar>
            <w:top w:w="0" w:type="dxa"/>
            <w:left w:w="108" w:type="dxa"/>
            <w:bottom w:w="0" w:type="dxa"/>
            <w:right w:w="108" w:type="dxa"/>
          </w:tblCellMar>
        </w:tblPrEx>
        <w:tc>
          <w:tcPr>
            <w:tcW w:w="5032" w:type="dxa"/>
          </w:tcPr>
          <w:p>
            <w:pPr>
              <w:pStyle w:val="30"/>
              <w:spacing w:line="240" w:lineRule="auto"/>
              <w:jc w:val="both"/>
              <w:rPr>
                <w:rFonts w:ascii="Times New Roman" w:hAnsi="Times New Roman"/>
              </w:rPr>
            </w:pPr>
            <w:r>
              <w:rPr>
                <w:rFonts w:ascii="Times New Roman" w:hAnsi="Times New Roman"/>
              </w:rPr>
              <w:t>- срок годности;</w:t>
            </w:r>
          </w:p>
        </w:tc>
        <w:tc>
          <w:tcPr>
            <w:tcW w:w="5033" w:type="dxa"/>
          </w:tcPr>
          <w:p>
            <w:pPr>
              <w:rPr>
                <w:kern w:val="20"/>
                <w:sz w:val="22"/>
                <w:szCs w:val="22"/>
                <w:lang w:val="en-US"/>
              </w:rPr>
            </w:pPr>
            <w:r>
              <w:rPr>
                <w:kern w:val="20"/>
                <w:sz w:val="22"/>
                <w:szCs w:val="22"/>
              </w:rPr>
              <w:t xml:space="preserve">- </w:t>
            </w:r>
            <w:r>
              <w:rPr>
                <w:kern w:val="20"/>
                <w:sz w:val="22"/>
                <w:szCs w:val="22"/>
                <w:lang w:val="en-US"/>
              </w:rPr>
              <w:t>expiration date</w:t>
            </w:r>
            <w:r>
              <w:rPr>
                <w:kern w:val="20"/>
                <w:sz w:val="22"/>
                <w:szCs w:val="22"/>
              </w:rPr>
              <w:t>;</w:t>
            </w:r>
          </w:p>
        </w:tc>
      </w:tr>
      <w:tr>
        <w:tblPrEx>
          <w:tblLayout w:type="fixed"/>
          <w:tblCellMar>
            <w:top w:w="0" w:type="dxa"/>
            <w:left w:w="108" w:type="dxa"/>
            <w:bottom w:w="0" w:type="dxa"/>
            <w:right w:w="108" w:type="dxa"/>
          </w:tblCellMar>
        </w:tblPrEx>
        <w:tc>
          <w:tcPr>
            <w:tcW w:w="5032" w:type="dxa"/>
          </w:tcPr>
          <w:p>
            <w:pPr>
              <w:pStyle w:val="30"/>
              <w:spacing w:line="240" w:lineRule="auto"/>
              <w:jc w:val="both"/>
              <w:rPr>
                <w:rFonts w:ascii="Times New Roman" w:hAnsi="Times New Roman"/>
              </w:rPr>
            </w:pPr>
            <w:r>
              <w:rPr>
                <w:rFonts w:ascii="Times New Roman" w:hAnsi="Times New Roman"/>
              </w:rPr>
              <w:t>-условия хранения.</w:t>
            </w:r>
          </w:p>
        </w:tc>
        <w:tc>
          <w:tcPr>
            <w:tcW w:w="5033" w:type="dxa"/>
          </w:tcPr>
          <w:p>
            <w:pPr>
              <w:pStyle w:val="10"/>
              <w:tabs>
                <w:tab w:val="clear" w:pos="4153"/>
                <w:tab w:val="clear" w:pos="8306"/>
              </w:tabs>
              <w:rPr>
                <w:kern w:val="20"/>
                <w:sz w:val="22"/>
                <w:szCs w:val="22"/>
                <w:lang w:val="en-US"/>
              </w:rPr>
            </w:pPr>
            <w:r>
              <w:rPr>
                <w:kern w:val="20"/>
                <w:sz w:val="22"/>
                <w:szCs w:val="22"/>
              </w:rPr>
              <w:t>-</w:t>
            </w:r>
            <w:r>
              <w:rPr>
                <w:kern w:val="20"/>
                <w:sz w:val="22"/>
                <w:szCs w:val="22"/>
                <w:lang w:val="en-US"/>
              </w:rPr>
              <w:t xml:space="preserve"> storage conditions </w:t>
            </w:r>
            <w:r>
              <w:rPr>
                <w:kern w:val="20"/>
                <w:sz w:val="22"/>
                <w:szCs w:val="22"/>
              </w:rPr>
              <w:t>.</w:t>
            </w:r>
          </w:p>
        </w:tc>
      </w:tr>
      <w:tr>
        <w:tblPrEx>
          <w:tblLayout w:type="fixed"/>
          <w:tblCellMar>
            <w:top w:w="0" w:type="dxa"/>
            <w:left w:w="108" w:type="dxa"/>
            <w:bottom w:w="0" w:type="dxa"/>
            <w:right w:w="108" w:type="dxa"/>
          </w:tblCellMar>
        </w:tblPrEx>
        <w:tc>
          <w:tcPr>
            <w:tcW w:w="5032" w:type="dxa"/>
          </w:tcPr>
          <w:p>
            <w:pPr>
              <w:pStyle w:val="30"/>
              <w:numPr>
                <w:ilvl w:val="0"/>
                <w:numId w:val="2"/>
              </w:numPr>
              <w:spacing w:line="240" w:lineRule="auto"/>
              <w:ind w:left="148" w:firstLine="0"/>
              <w:rPr>
                <w:rFonts w:ascii="Times New Roman" w:hAnsi="Times New Roman"/>
              </w:rPr>
            </w:pPr>
            <w:r>
              <w:rPr>
                <w:rFonts w:ascii="Times New Roman" w:hAnsi="Times New Roman"/>
                <w:b/>
              </w:rPr>
              <w:t>ВАЛЮТА КОНТРАКТА и ПЛАТЕЖА,  СУММА КОНТРАКТА, ПОРЯДОК РАСЧЕТОВ</w:t>
            </w:r>
          </w:p>
        </w:tc>
        <w:tc>
          <w:tcPr>
            <w:tcW w:w="5033" w:type="dxa"/>
          </w:tcPr>
          <w:p>
            <w:pPr>
              <w:jc w:val="center"/>
              <w:rPr>
                <w:b/>
                <w:kern w:val="20"/>
                <w:sz w:val="22"/>
                <w:szCs w:val="22"/>
                <w:lang w:val="en-US"/>
              </w:rPr>
            </w:pPr>
            <w:r>
              <w:rPr>
                <w:b/>
                <w:kern w:val="20"/>
                <w:sz w:val="22"/>
                <w:szCs w:val="22"/>
                <w:lang w:val="en-US"/>
              </w:rPr>
              <w:t>5. CURRENCY OF CONTRACT AND SETTLEMENT , CONTRACT AMOUNT, PROCEDURE OF SETTLEMENTS</w:t>
            </w:r>
          </w:p>
        </w:tc>
      </w:tr>
      <w:tr>
        <w:tblPrEx>
          <w:tblLayout w:type="fixed"/>
          <w:tblCellMar>
            <w:top w:w="0" w:type="dxa"/>
            <w:left w:w="108" w:type="dxa"/>
            <w:bottom w:w="0" w:type="dxa"/>
            <w:right w:w="108" w:type="dxa"/>
          </w:tblCellMar>
        </w:tblPrEx>
        <w:tc>
          <w:tcPr>
            <w:tcW w:w="5032" w:type="dxa"/>
          </w:tcPr>
          <w:p>
            <w:pPr>
              <w:pStyle w:val="30"/>
              <w:numPr>
                <w:ilvl w:val="1"/>
                <w:numId w:val="2"/>
              </w:numPr>
              <w:spacing w:line="240" w:lineRule="auto"/>
              <w:jc w:val="both"/>
              <w:rPr>
                <w:rFonts w:ascii="Times New Roman" w:hAnsi="Times New Roman"/>
              </w:rPr>
            </w:pPr>
            <w:r>
              <w:rPr>
                <w:rFonts w:ascii="Times New Roman" w:hAnsi="Times New Roman"/>
              </w:rPr>
              <w:t>Валютой Контракта и валютой платежа является китайский юань(</w:t>
            </w:r>
            <w:r>
              <w:rPr>
                <w:rFonts w:ascii="Times New Roman" w:hAnsi="Times New Roman"/>
                <w:lang w:val="en-US"/>
              </w:rPr>
              <w:t>CNY</w:t>
            </w:r>
            <w:r>
              <w:rPr>
                <w:rFonts w:ascii="Times New Roman" w:hAnsi="Times New Roman"/>
              </w:rPr>
              <w:t>)</w:t>
            </w:r>
          </w:p>
        </w:tc>
        <w:tc>
          <w:tcPr>
            <w:tcW w:w="5033" w:type="dxa"/>
          </w:tcPr>
          <w:p>
            <w:pPr>
              <w:pStyle w:val="10"/>
              <w:tabs>
                <w:tab w:val="clear" w:pos="4153"/>
                <w:tab w:val="clear" w:pos="8306"/>
              </w:tabs>
              <w:spacing w:after="200"/>
              <w:contextualSpacing/>
              <w:rPr>
                <w:kern w:val="20"/>
                <w:sz w:val="22"/>
                <w:szCs w:val="22"/>
                <w:lang w:val="en-US"/>
              </w:rPr>
            </w:pPr>
            <w:r>
              <w:rPr>
                <w:kern w:val="20"/>
                <w:sz w:val="22"/>
                <w:szCs w:val="22"/>
                <w:lang w:val="en-US"/>
              </w:rPr>
              <w:t xml:space="preserve">5.1 Contract and Settlement Currency-Chinese yuan (CNY). </w:t>
            </w:r>
          </w:p>
        </w:tc>
      </w:tr>
      <w:tr>
        <w:tblPrEx>
          <w:tblLayout w:type="fixed"/>
          <w:tblCellMar>
            <w:top w:w="0" w:type="dxa"/>
            <w:left w:w="108" w:type="dxa"/>
            <w:bottom w:w="0" w:type="dxa"/>
            <w:right w:w="108" w:type="dxa"/>
          </w:tblCellMar>
        </w:tblPrEx>
        <w:tc>
          <w:tcPr>
            <w:tcW w:w="5032" w:type="dxa"/>
          </w:tcPr>
          <w:p>
            <w:pPr>
              <w:pStyle w:val="30"/>
              <w:numPr>
                <w:ilvl w:val="1"/>
                <w:numId w:val="2"/>
              </w:numPr>
              <w:spacing w:line="240" w:lineRule="auto"/>
              <w:jc w:val="both"/>
              <w:rPr>
                <w:rFonts w:ascii="Times New Roman" w:hAnsi="Times New Roman"/>
              </w:rPr>
            </w:pPr>
            <w:r>
              <w:rPr>
                <w:rFonts w:ascii="Times New Roman" w:hAnsi="Times New Roman"/>
              </w:rPr>
              <w:t xml:space="preserve">Цены в Спецификациях к Контракту устанавливаются в </w:t>
            </w:r>
            <w:r>
              <w:rPr>
                <w:rFonts w:ascii="Times New Roman" w:hAnsi="Times New Roman"/>
                <w:lang w:val="en-US"/>
              </w:rPr>
              <w:t>CNY</w:t>
            </w:r>
            <w:r>
              <w:rPr>
                <w:rFonts w:ascii="Times New Roman" w:hAnsi="Times New Roman"/>
              </w:rPr>
              <w:t xml:space="preserve">. </w:t>
            </w:r>
          </w:p>
        </w:tc>
        <w:tc>
          <w:tcPr>
            <w:tcW w:w="5033" w:type="dxa"/>
          </w:tcPr>
          <w:p>
            <w:pPr>
              <w:spacing w:after="200"/>
              <w:contextualSpacing/>
              <w:rPr>
                <w:kern w:val="20"/>
                <w:sz w:val="22"/>
                <w:szCs w:val="22"/>
                <w:lang w:val="en-US"/>
              </w:rPr>
            </w:pPr>
            <w:r>
              <w:rPr>
                <w:kern w:val="20"/>
                <w:sz w:val="22"/>
                <w:szCs w:val="22"/>
                <w:lang w:val="en-US"/>
              </w:rPr>
              <w:t xml:space="preserve">5.2. The prices in the Specifications to the Contract are fixed in CNY. </w:t>
            </w:r>
          </w:p>
          <w:p>
            <w:pPr>
              <w:spacing w:after="200"/>
              <w:contextualSpacing/>
              <w:rPr>
                <w:b/>
                <w:kern w:val="20"/>
                <w:sz w:val="22"/>
                <w:szCs w:val="22"/>
                <w:lang w:val="en-US"/>
              </w:rPr>
            </w:pPr>
            <w:r>
              <w:rPr>
                <w:kern w:val="20"/>
                <w:sz w:val="22"/>
                <w:szCs w:val="22"/>
                <w:lang w:val="en-US"/>
              </w:rPr>
              <w:t>.</w:t>
            </w:r>
          </w:p>
        </w:tc>
      </w:tr>
      <w:tr>
        <w:tblPrEx>
          <w:tblLayout w:type="fixed"/>
          <w:tblCellMar>
            <w:top w:w="0" w:type="dxa"/>
            <w:left w:w="108" w:type="dxa"/>
            <w:bottom w:w="0" w:type="dxa"/>
            <w:right w:w="108" w:type="dxa"/>
          </w:tblCellMar>
        </w:tblPrEx>
        <w:tc>
          <w:tcPr>
            <w:tcW w:w="5032" w:type="dxa"/>
          </w:tcPr>
          <w:p>
            <w:pPr>
              <w:pStyle w:val="30"/>
              <w:numPr>
                <w:ilvl w:val="1"/>
                <w:numId w:val="2"/>
              </w:numPr>
              <w:spacing w:line="240" w:lineRule="auto"/>
              <w:jc w:val="both"/>
              <w:rPr>
                <w:rFonts w:ascii="Times New Roman" w:hAnsi="Times New Roman"/>
              </w:rPr>
            </w:pPr>
            <w:r>
              <w:rPr>
                <w:rFonts w:ascii="Times New Roman" w:hAnsi="Times New Roman"/>
              </w:rPr>
              <w:t>Приемщик оплачивает поставленный Поставщиком Товар по цене, указанной в конкретных спецификациях, которые являются неотъемлемой частью настоящего Контракта.</w:t>
            </w:r>
          </w:p>
        </w:tc>
        <w:tc>
          <w:tcPr>
            <w:tcW w:w="5033" w:type="dxa"/>
          </w:tcPr>
          <w:p>
            <w:pPr>
              <w:spacing w:after="200"/>
              <w:contextualSpacing/>
              <w:rPr>
                <w:kern w:val="20"/>
                <w:sz w:val="22"/>
                <w:szCs w:val="22"/>
                <w:lang w:val="en-US"/>
              </w:rPr>
            </w:pPr>
            <w:r>
              <w:rPr>
                <w:kern w:val="20"/>
                <w:sz w:val="22"/>
                <w:szCs w:val="22"/>
                <w:lang w:val="en-US"/>
              </w:rPr>
              <w:t>5.3 The Receiver will pay for the Goods by the Supplier at the price indicated in the appropriate  specifications being integral part of the present Contract.</w:t>
            </w:r>
          </w:p>
        </w:tc>
      </w:tr>
      <w:tr>
        <w:tblPrEx>
          <w:tblLayout w:type="fixed"/>
          <w:tblCellMar>
            <w:top w:w="0" w:type="dxa"/>
            <w:left w:w="108" w:type="dxa"/>
            <w:bottom w:w="0" w:type="dxa"/>
            <w:right w:w="108" w:type="dxa"/>
          </w:tblCellMar>
        </w:tblPrEx>
        <w:tc>
          <w:tcPr>
            <w:tcW w:w="5032" w:type="dxa"/>
          </w:tcPr>
          <w:p>
            <w:pPr>
              <w:pStyle w:val="30"/>
              <w:numPr>
                <w:ilvl w:val="1"/>
                <w:numId w:val="2"/>
              </w:numPr>
              <w:spacing w:line="240" w:lineRule="auto"/>
              <w:jc w:val="both"/>
              <w:rPr>
                <w:rFonts w:ascii="Times New Roman" w:hAnsi="Times New Roman"/>
              </w:rPr>
            </w:pPr>
            <w:r>
              <w:rPr>
                <w:rFonts w:ascii="Times New Roman" w:hAnsi="Times New Roman"/>
              </w:rPr>
              <w:t xml:space="preserve">Оплата за каждую партию Товара производится Приемщиком по факту реализации банковским переводом на счет Поставщика согласно выставленным Поставщиком счетам (инвойсам).  Оплата за поставленный Приемщику  Товар  может производиться частями. В случае низкого уровня реализации, неудовлетворяющего обе Стороны по настоящему контракту, Поставщик вправе вернуть Товар на территорию РФ или направить его в адрес другого Покупателя , либо обговорить иные пути продажи поставленного товара . </w:t>
            </w:r>
          </w:p>
        </w:tc>
        <w:tc>
          <w:tcPr>
            <w:tcW w:w="5033" w:type="dxa"/>
          </w:tcPr>
          <w:p>
            <w:pPr>
              <w:spacing w:after="200"/>
              <w:contextualSpacing/>
              <w:jc w:val="both"/>
              <w:rPr>
                <w:kern w:val="20"/>
                <w:sz w:val="22"/>
                <w:szCs w:val="22"/>
                <w:lang w:val="en-US"/>
              </w:rPr>
            </w:pPr>
            <w:r>
              <w:rPr>
                <w:kern w:val="20"/>
                <w:sz w:val="22"/>
                <w:szCs w:val="22"/>
                <w:lang w:val="en-US"/>
              </w:rPr>
              <w:t xml:space="preserve">5.4   The payment of each Goods’ lot should be effected by the Reciever upon disposal of goods in the form of  bank transfer into the account of the Supplier  in accordance with the Invoices issued by the Supplier. </w:t>
            </w:r>
          </w:p>
          <w:p>
            <w:pPr>
              <w:spacing w:after="200"/>
              <w:contextualSpacing/>
              <w:jc w:val="both"/>
              <w:rPr>
                <w:kern w:val="20"/>
                <w:sz w:val="22"/>
                <w:szCs w:val="22"/>
                <w:lang w:val="en-US"/>
              </w:rPr>
            </w:pPr>
            <w:r>
              <w:rPr>
                <w:kern w:val="20"/>
                <w:sz w:val="22"/>
                <w:szCs w:val="22"/>
                <w:lang w:val="en-US"/>
              </w:rPr>
              <w:t xml:space="preserve">The payment for the goods delivered by Receiver may be effected by parts.    </w:t>
            </w:r>
          </w:p>
          <w:p>
            <w:pPr>
              <w:rPr>
                <w:rFonts w:ascii="Times" w:hAnsi="Times"/>
                <w:kern w:val="0"/>
                <w:lang w:val="en-US" w:eastAsia="en-US"/>
              </w:rPr>
            </w:pPr>
            <w:r>
              <w:rPr>
                <w:kern w:val="20"/>
                <w:sz w:val="22"/>
                <w:szCs w:val="22"/>
                <w:lang w:val="en-US"/>
              </w:rPr>
              <w:t>In case of low sales level, dissatisfying both Parties under the present contract, the Supplier has the right to deliver the Goods back  to the Russian Federation or send Goods to  the Buyer.,</w:t>
            </w:r>
            <w:r>
              <w:rPr>
                <w:rFonts w:ascii="Arial" w:hAnsi="Arial"/>
                <w:color w:val="333333"/>
                <w:kern w:val="0"/>
                <w:sz w:val="24"/>
                <w:szCs w:val="24"/>
                <w:shd w:val="clear" w:color="auto" w:fill="FFFFFF"/>
                <w:lang w:val="en-US" w:eastAsia="en-US"/>
              </w:rPr>
              <w:t xml:space="preserve"> </w:t>
            </w:r>
            <w:r>
              <w:rPr>
                <w:color w:val="333333"/>
                <w:kern w:val="0"/>
                <w:sz w:val="22"/>
                <w:szCs w:val="22"/>
                <w:shd w:val="clear" w:color="auto" w:fill="FFFFFF"/>
                <w:lang w:val="en-US" w:eastAsia="en-US"/>
              </w:rPr>
              <w:t>or to discuss other ways of sale of the goods supplied</w:t>
            </w:r>
            <w:r>
              <w:rPr>
                <w:kern w:val="0"/>
                <w:sz w:val="22"/>
                <w:szCs w:val="22"/>
                <w:lang w:val="en-US" w:eastAsia="en-US"/>
              </w:rPr>
              <w:t>.</w:t>
            </w:r>
          </w:p>
        </w:tc>
      </w:tr>
      <w:tr>
        <w:tblPrEx>
          <w:tblLayout w:type="fixed"/>
          <w:tblCellMar>
            <w:top w:w="0" w:type="dxa"/>
            <w:left w:w="108" w:type="dxa"/>
            <w:bottom w:w="0" w:type="dxa"/>
            <w:right w:w="108" w:type="dxa"/>
          </w:tblCellMar>
        </w:tblPrEx>
        <w:trPr>
          <w:trHeight w:val="1751" w:hRule="atLeast"/>
        </w:trPr>
        <w:tc>
          <w:tcPr>
            <w:tcW w:w="5032" w:type="dxa"/>
          </w:tcPr>
          <w:p>
            <w:pPr>
              <w:pStyle w:val="30"/>
              <w:spacing w:line="240" w:lineRule="auto"/>
              <w:ind w:left="6"/>
              <w:jc w:val="both"/>
              <w:rPr>
                <w:rFonts w:ascii="Times New Roman" w:hAnsi="Times New Roman"/>
                <w:bCs/>
              </w:rPr>
            </w:pPr>
            <w:r>
              <w:rPr>
                <w:rFonts w:ascii="Times New Roman" w:hAnsi="Times New Roman"/>
              </w:rPr>
              <w:t xml:space="preserve">5.5.  </w:t>
            </w:r>
            <w:r>
              <w:rPr>
                <w:rFonts w:ascii="Times New Roman" w:hAnsi="Times New Roman"/>
                <w:bCs/>
              </w:rPr>
              <w:t>Комиссии за услуги банка Приемщика и банка-корреспондента Приемщика относятся на счет  Приемщика. Комиссии за услуги банка Поставщика и банка-корреспондента Поставщика относятся на счет Поставщика.</w:t>
            </w:r>
          </w:p>
        </w:tc>
        <w:tc>
          <w:tcPr>
            <w:tcW w:w="5033" w:type="dxa"/>
          </w:tcPr>
          <w:p>
            <w:pPr>
              <w:spacing w:after="200"/>
              <w:contextualSpacing/>
              <w:rPr>
                <w:kern w:val="20"/>
                <w:sz w:val="22"/>
                <w:szCs w:val="22"/>
                <w:lang w:val="en-US"/>
              </w:rPr>
            </w:pPr>
            <w:r>
              <w:rPr>
                <w:kern w:val="20"/>
                <w:sz w:val="22"/>
                <w:szCs w:val="22"/>
                <w:lang w:val="en-US"/>
              </w:rPr>
              <w:t xml:space="preserve">5.5.  </w:t>
            </w:r>
            <w:r>
              <w:rPr>
                <w:kern w:val="20"/>
                <w:sz w:val="22"/>
                <w:szCs w:val="22"/>
                <w:lang w:val="en-GB"/>
              </w:rPr>
              <w:t xml:space="preserve">All expenses incurred by the </w:t>
            </w:r>
            <w:r>
              <w:rPr>
                <w:kern w:val="20"/>
                <w:sz w:val="22"/>
                <w:szCs w:val="22"/>
                <w:lang w:val="en-US"/>
              </w:rPr>
              <w:t>Receiver</w:t>
            </w:r>
            <w:r>
              <w:rPr>
                <w:kern w:val="20"/>
                <w:sz w:val="22"/>
                <w:szCs w:val="22"/>
                <w:lang w:val="en-GB"/>
              </w:rPr>
              <w:t xml:space="preserve"> bank and the Receiver corresponding bank shall be borne by the Receiver</w:t>
            </w:r>
            <w:r>
              <w:rPr>
                <w:kern w:val="20"/>
                <w:sz w:val="22"/>
                <w:szCs w:val="22"/>
                <w:lang w:val="en-US"/>
              </w:rPr>
              <w:t xml:space="preserve">. </w:t>
            </w:r>
            <w:r>
              <w:rPr>
                <w:kern w:val="20"/>
                <w:sz w:val="22"/>
                <w:szCs w:val="22"/>
              </w:rPr>
              <w:t>А</w:t>
            </w:r>
            <w:r>
              <w:rPr>
                <w:kern w:val="20"/>
                <w:sz w:val="22"/>
                <w:szCs w:val="22"/>
                <w:lang w:val="en-GB"/>
              </w:rPr>
              <w:t>ll expenses incurred by the S</w:t>
            </w:r>
            <w:r>
              <w:rPr>
                <w:kern w:val="20"/>
                <w:sz w:val="22"/>
                <w:szCs w:val="22"/>
                <w:lang w:val="en-US"/>
              </w:rPr>
              <w:t>upplier</w:t>
            </w:r>
            <w:r>
              <w:rPr>
                <w:kern w:val="20"/>
                <w:sz w:val="22"/>
                <w:szCs w:val="22"/>
                <w:lang w:val="en-GB"/>
              </w:rPr>
              <w:t>’s bank and the Supplier’s corresponding bank shall be borne by the Supplier</w:t>
            </w:r>
            <w:r>
              <w:rPr>
                <w:kern w:val="20"/>
                <w:sz w:val="22"/>
                <w:szCs w:val="22"/>
                <w:lang w:val="en-US"/>
              </w:rPr>
              <w:t>.</w:t>
            </w:r>
          </w:p>
        </w:tc>
      </w:tr>
      <w:tr>
        <w:tblPrEx>
          <w:tblLayout w:type="fixed"/>
          <w:tblCellMar>
            <w:top w:w="0" w:type="dxa"/>
            <w:left w:w="108" w:type="dxa"/>
            <w:bottom w:w="0" w:type="dxa"/>
            <w:right w:w="108" w:type="dxa"/>
          </w:tblCellMar>
        </w:tblPrEx>
        <w:tc>
          <w:tcPr>
            <w:tcW w:w="5032" w:type="dxa"/>
          </w:tcPr>
          <w:p>
            <w:pPr>
              <w:pStyle w:val="30"/>
              <w:spacing w:line="240" w:lineRule="auto"/>
              <w:ind w:left="0"/>
              <w:rPr>
                <w:rFonts w:ascii="Times New Roman" w:hAnsi="Times New Roman"/>
                <w:b/>
              </w:rPr>
            </w:pPr>
            <w:r>
              <w:rPr>
                <w:rFonts w:ascii="Times New Roman" w:hAnsi="Times New Roman"/>
                <w:b/>
              </w:rPr>
              <w:t>6. ПРЕТЕНЗИИ И ПОРЯДОК ИХ РАССМОТРЕНИЯ</w:t>
            </w:r>
          </w:p>
        </w:tc>
        <w:tc>
          <w:tcPr>
            <w:tcW w:w="5033" w:type="dxa"/>
          </w:tcPr>
          <w:p>
            <w:pPr>
              <w:spacing w:after="200"/>
              <w:contextualSpacing/>
              <w:jc w:val="center"/>
              <w:rPr>
                <w:kern w:val="20"/>
                <w:sz w:val="22"/>
                <w:szCs w:val="22"/>
                <w:lang w:val="en-US"/>
              </w:rPr>
            </w:pPr>
            <w:r>
              <w:rPr>
                <w:b/>
                <w:kern w:val="20"/>
                <w:sz w:val="22"/>
                <w:szCs w:val="22"/>
                <w:lang w:val="en-US"/>
              </w:rPr>
              <w:t>6. CLAIMS AND GRIEVANCE PROCEDURE</w:t>
            </w: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kern w:val="20"/>
                <w:sz w:val="22"/>
                <w:szCs w:val="22"/>
              </w:rPr>
              <w:t>6.1. В случае несоответствия товара качеству, предусмотренному в сертификате качества                     производителя товара, Приемщик вправе предъявить претензию в письменном виде в течение всего объявленного срока годности товара. В случае отклонения от товарно-сопроводительных документов по количеству, Приемщик вправе предъявить претензию в письменном виде в срок не позднее 30 (тридцати) календарных дней со дня приемки товара.</w:t>
            </w:r>
          </w:p>
        </w:tc>
        <w:tc>
          <w:tcPr>
            <w:tcW w:w="5033" w:type="dxa"/>
          </w:tcPr>
          <w:p>
            <w:pPr>
              <w:rPr>
                <w:rFonts w:ascii="Times" w:hAnsi="Times"/>
                <w:kern w:val="0"/>
                <w:lang w:val="en-US" w:eastAsia="en-US"/>
              </w:rPr>
            </w:pPr>
            <w:r>
              <w:rPr>
                <w:kern w:val="20"/>
                <w:sz w:val="22"/>
                <w:szCs w:val="22"/>
                <w:lang w:val="en-US"/>
              </w:rPr>
              <w:t xml:space="preserve">6.1 </w:t>
            </w:r>
            <w:r>
              <w:rPr>
                <w:color w:val="333333"/>
                <w:kern w:val="0"/>
                <w:sz w:val="22"/>
                <w:szCs w:val="22"/>
                <w:shd w:val="clear" w:color="auto" w:fill="FFFFFF"/>
                <w:lang w:val="en-US" w:eastAsia="en-US"/>
              </w:rPr>
              <w:t>In case of discrepancy of goods quality prescribed in the quality certificate of the manufacturer of the goods</w:t>
            </w:r>
            <w:r>
              <w:rPr>
                <w:kern w:val="20"/>
                <w:sz w:val="22"/>
                <w:szCs w:val="22"/>
                <w:lang w:val="en-US"/>
              </w:rPr>
              <w:t xml:space="preserve">, the Receiver has the right to express dissatisfaction in written within the entire period of declared shelf life of goods.  In the event that the quantity of items is not complied with that indicated in the commodity-accompanying documents, the Receiver is entitled to submit the claim in written no later 30 (thirty) calendar days from the date of goods acceptance. </w:t>
            </w: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kern w:val="20"/>
                <w:sz w:val="22"/>
                <w:szCs w:val="22"/>
              </w:rPr>
              <w:t>6.2.При предъявлении претензии по качеству или количеству Приемщик обязан предоставить Поставщику рекламационный акт, составленный с участием представителя Поставщика либо незаинтересованной, компетентной организации страны Приемщиеом, уполномоченной Поставщиком.</w:t>
            </w:r>
          </w:p>
        </w:tc>
        <w:tc>
          <w:tcPr>
            <w:tcW w:w="5033" w:type="dxa"/>
          </w:tcPr>
          <w:p>
            <w:pPr>
              <w:spacing w:after="200"/>
              <w:contextualSpacing/>
              <w:jc w:val="both"/>
              <w:rPr>
                <w:b/>
                <w:sz w:val="22"/>
                <w:szCs w:val="22"/>
                <w:lang w:val="en-US"/>
              </w:rPr>
            </w:pPr>
            <w:r>
              <w:rPr>
                <w:sz w:val="22"/>
                <w:szCs w:val="22"/>
                <w:lang w:val="en-US"/>
              </w:rPr>
              <w:t>6.</w:t>
            </w:r>
            <w:r>
              <w:rPr>
                <w:kern w:val="20"/>
                <w:sz w:val="22"/>
                <w:szCs w:val="22"/>
                <w:lang w:val="en-US"/>
              </w:rPr>
              <w:t>2 While asserting a claim in respect of quality or quantity, the Receiver is obliged to render the Supplier a reclamation Act compiled with the participation of the Supplier`s agent  or  the member  of neutral competent organization of the Reciever country empowered by the Supplier.</w:t>
            </w: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kern w:val="20"/>
                <w:sz w:val="22"/>
                <w:szCs w:val="22"/>
              </w:rPr>
              <w:t>6.3. В рекламационном акте должны быть указаны основания его составления (несоответствие товара количеству, качеству, наименованию), а так же признак, по которому были сделаны выводы о таком несоответствии.</w:t>
            </w:r>
          </w:p>
        </w:tc>
        <w:tc>
          <w:tcPr>
            <w:tcW w:w="5033" w:type="dxa"/>
          </w:tcPr>
          <w:p>
            <w:pPr>
              <w:spacing w:after="200"/>
              <w:contextualSpacing/>
              <w:jc w:val="both"/>
              <w:rPr>
                <w:sz w:val="22"/>
                <w:szCs w:val="22"/>
                <w:lang w:val="en-US"/>
              </w:rPr>
            </w:pPr>
            <w:r>
              <w:rPr>
                <w:kern w:val="20"/>
                <w:sz w:val="22"/>
                <w:szCs w:val="22"/>
                <w:lang w:val="en-US"/>
              </w:rPr>
              <w:t>6.3 The reclamation Act must contain the reasons promoting its composition (non-compliance of goods in respect of quantity, quality, description) including the feature which has permitted to draw a conclusion about such a discrepancy.</w:t>
            </w: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b/>
                <w:kern w:val="20"/>
                <w:sz w:val="22"/>
                <w:szCs w:val="22"/>
              </w:rPr>
              <w:t>7. ОПИСАНИЕ ПРОДУКТА</w:t>
            </w:r>
          </w:p>
        </w:tc>
        <w:tc>
          <w:tcPr>
            <w:tcW w:w="5033" w:type="dxa"/>
          </w:tcPr>
          <w:p>
            <w:pPr>
              <w:spacing w:after="200"/>
              <w:contextualSpacing/>
              <w:rPr>
                <w:kern w:val="20"/>
                <w:sz w:val="22"/>
                <w:szCs w:val="22"/>
              </w:rPr>
            </w:pPr>
            <w:r>
              <w:rPr>
                <w:b/>
                <w:kern w:val="20"/>
                <w:sz w:val="22"/>
                <w:szCs w:val="22"/>
              </w:rPr>
              <w:t xml:space="preserve">7. </w:t>
            </w:r>
            <w:r>
              <w:rPr>
                <w:b/>
                <w:kern w:val="20"/>
                <w:sz w:val="22"/>
                <w:szCs w:val="22"/>
                <w:lang w:val="en-US"/>
              </w:rPr>
              <w:t>DESCRIPTION</w:t>
            </w:r>
            <w:r>
              <w:rPr>
                <w:b/>
                <w:kern w:val="20"/>
                <w:sz w:val="22"/>
                <w:szCs w:val="22"/>
              </w:rPr>
              <w:t xml:space="preserve"> </w:t>
            </w:r>
            <w:r>
              <w:rPr>
                <w:b/>
                <w:kern w:val="20"/>
                <w:sz w:val="22"/>
                <w:szCs w:val="22"/>
                <w:lang w:val="en-US"/>
              </w:rPr>
              <w:t>OF</w:t>
            </w:r>
            <w:r>
              <w:rPr>
                <w:b/>
                <w:kern w:val="20"/>
                <w:sz w:val="22"/>
                <w:szCs w:val="22"/>
              </w:rPr>
              <w:t xml:space="preserve"> </w:t>
            </w:r>
            <w:r>
              <w:rPr>
                <w:b/>
                <w:kern w:val="20"/>
                <w:sz w:val="22"/>
                <w:szCs w:val="22"/>
                <w:lang w:val="en-US"/>
              </w:rPr>
              <w:t>PRODUCTS</w:t>
            </w:r>
            <w:r>
              <w:rPr>
                <w:b/>
                <w:kern w:val="20"/>
                <w:sz w:val="22"/>
                <w:szCs w:val="22"/>
              </w:rPr>
              <w:t xml:space="preserve"> </w:t>
            </w:r>
          </w:p>
        </w:tc>
      </w:tr>
      <w:tr>
        <w:tblPrEx>
          <w:tblLayout w:type="fixed"/>
          <w:tblCellMar>
            <w:top w:w="0" w:type="dxa"/>
            <w:left w:w="108" w:type="dxa"/>
            <w:bottom w:w="0" w:type="dxa"/>
            <w:right w:w="108" w:type="dxa"/>
          </w:tblCellMar>
        </w:tblPrEx>
        <w:tc>
          <w:tcPr>
            <w:tcW w:w="5032" w:type="dxa"/>
          </w:tcPr>
          <w:p>
            <w:pPr>
              <w:spacing w:after="200"/>
              <w:contextualSpacing/>
              <w:jc w:val="both"/>
              <w:rPr>
                <w:b/>
                <w:color w:val="0000FF"/>
                <w:kern w:val="20"/>
                <w:sz w:val="22"/>
                <w:szCs w:val="22"/>
              </w:rPr>
            </w:pPr>
            <w:r>
              <w:rPr>
                <w:kern w:val="20"/>
                <w:sz w:val="22"/>
                <w:szCs w:val="22"/>
              </w:rPr>
              <w:t xml:space="preserve">7.1 Описание продукта на этикетке должно соответствовать требованиям Российских законов. </w:t>
            </w:r>
          </w:p>
        </w:tc>
        <w:tc>
          <w:tcPr>
            <w:tcW w:w="5033" w:type="dxa"/>
          </w:tcPr>
          <w:p>
            <w:pPr>
              <w:spacing w:after="200"/>
              <w:contextualSpacing/>
              <w:jc w:val="both"/>
              <w:rPr>
                <w:b/>
                <w:kern w:val="20"/>
                <w:sz w:val="22"/>
                <w:szCs w:val="22"/>
                <w:lang w:val="en-US"/>
              </w:rPr>
            </w:pPr>
            <w:r>
              <w:rPr>
                <w:rFonts w:eastAsia="SimSun"/>
                <w:kern w:val="20"/>
                <w:sz w:val="22"/>
                <w:szCs w:val="22"/>
                <w:lang w:val="en-US" w:eastAsia="zh-CN"/>
              </w:rPr>
              <w:t xml:space="preserve">7.1 </w:t>
            </w:r>
            <w:r>
              <w:rPr>
                <w:kern w:val="20"/>
                <w:sz w:val="22"/>
                <w:szCs w:val="22"/>
                <w:lang w:val="en-US"/>
              </w:rPr>
              <w:t xml:space="preserve">The product description on the label should meet </w:t>
            </w:r>
            <w:r>
              <w:rPr>
                <w:rFonts w:eastAsia="SimSun"/>
                <w:kern w:val="20"/>
                <w:sz w:val="22"/>
                <w:szCs w:val="22"/>
                <w:lang w:val="en-US" w:eastAsia="zh-CN"/>
              </w:rPr>
              <w:t>the requirements of Russian laws</w:t>
            </w:r>
            <w:r>
              <w:rPr>
                <w:kern w:val="20"/>
                <w:sz w:val="22"/>
                <w:szCs w:val="22"/>
                <w:lang w:val="en-US"/>
              </w:rPr>
              <w:t xml:space="preserve">. </w:t>
            </w: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b/>
                <w:kern w:val="20"/>
                <w:sz w:val="22"/>
                <w:szCs w:val="22"/>
              </w:rPr>
              <w:t>8. РЕГИСТРАЦИЯ ПРОДУКТА</w:t>
            </w:r>
          </w:p>
        </w:tc>
        <w:tc>
          <w:tcPr>
            <w:tcW w:w="5033" w:type="dxa"/>
          </w:tcPr>
          <w:p>
            <w:pPr>
              <w:spacing w:after="200"/>
              <w:contextualSpacing/>
              <w:jc w:val="both"/>
              <w:rPr>
                <w:rFonts w:eastAsia="SimSun"/>
                <w:kern w:val="20"/>
                <w:sz w:val="22"/>
                <w:szCs w:val="22"/>
                <w:lang w:val="en-US" w:eastAsia="zh-CN"/>
              </w:rPr>
            </w:pPr>
            <w:r>
              <w:rPr>
                <w:b/>
                <w:kern w:val="20"/>
                <w:sz w:val="22"/>
                <w:szCs w:val="22"/>
                <w:lang w:val="en-US"/>
              </w:rPr>
              <w:t>8.PRODUCTS REGISTRATION</w:t>
            </w: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kern w:val="20"/>
                <w:sz w:val="22"/>
                <w:szCs w:val="22"/>
              </w:rPr>
              <w:t xml:space="preserve">8.1 Регистрация продукта в местных органах или получение одобрения на продажу возлагается на Приемщика , с предоставлением перечня необходимых документов для регистрации продукции (этикетки) в Китае. ПРОДАВЕЦ должен предоставить все необходимые  правовые документы, требуемые для регистрации продукции (этикетки) в Китае.   </w:t>
            </w:r>
          </w:p>
          <w:p>
            <w:pPr>
              <w:spacing w:after="200"/>
              <w:contextualSpacing/>
              <w:jc w:val="both"/>
              <w:rPr>
                <w:b/>
                <w:color w:val="0000FF"/>
                <w:kern w:val="20"/>
                <w:sz w:val="22"/>
                <w:szCs w:val="22"/>
              </w:rPr>
            </w:pPr>
          </w:p>
        </w:tc>
        <w:tc>
          <w:tcPr>
            <w:tcW w:w="5033" w:type="dxa"/>
          </w:tcPr>
          <w:p>
            <w:pPr>
              <w:spacing w:after="200"/>
              <w:contextualSpacing/>
              <w:jc w:val="both"/>
              <w:rPr>
                <w:b/>
                <w:kern w:val="20"/>
                <w:sz w:val="22"/>
                <w:szCs w:val="22"/>
                <w:lang w:val="en-US"/>
              </w:rPr>
            </w:pPr>
            <w:r>
              <w:rPr>
                <w:rFonts w:eastAsia="SimSun"/>
                <w:kern w:val="20"/>
                <w:sz w:val="22"/>
                <w:szCs w:val="22"/>
                <w:lang w:val="en-US" w:eastAsia="zh-CN"/>
              </w:rPr>
              <w:t xml:space="preserve">8.1 </w:t>
            </w:r>
            <w:r>
              <w:rPr>
                <w:kern w:val="20"/>
                <w:sz w:val="22"/>
                <w:szCs w:val="22"/>
                <w:lang w:val="en-US"/>
              </w:rPr>
              <w:t xml:space="preserve">Reciever is responsible for any local registration or approval for marketing the product. The BUYER must submit the list of documents required for the registration of products (label) in China. The Supplier should provide all the needed legal materials for registration, if products (label) have to be registered in China.                                             </w:t>
            </w: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b/>
                <w:kern w:val="20"/>
                <w:sz w:val="22"/>
                <w:szCs w:val="22"/>
                <w:lang w:val="en-US"/>
              </w:rPr>
              <w:t>9</w:t>
            </w:r>
            <w:r>
              <w:rPr>
                <w:b/>
                <w:kern w:val="20"/>
                <w:sz w:val="22"/>
                <w:szCs w:val="22"/>
              </w:rPr>
              <w:t>. ОФОРМЛЕНИЕ В ПИСЬМЕННОЙ ФОРМЕ</w:t>
            </w:r>
          </w:p>
        </w:tc>
        <w:tc>
          <w:tcPr>
            <w:tcW w:w="5033" w:type="dxa"/>
          </w:tcPr>
          <w:p>
            <w:pPr>
              <w:spacing w:after="200"/>
              <w:contextualSpacing/>
              <w:rPr>
                <w:rFonts w:eastAsia="SimSun"/>
                <w:kern w:val="20"/>
                <w:sz w:val="22"/>
                <w:szCs w:val="22"/>
                <w:lang w:val="en-US" w:eastAsia="zh-CN"/>
              </w:rPr>
            </w:pPr>
            <w:r>
              <w:rPr>
                <w:rFonts w:eastAsia="SimSun"/>
                <w:b/>
                <w:kern w:val="20"/>
                <w:sz w:val="22"/>
                <w:szCs w:val="22"/>
                <w:lang w:val="en-US" w:eastAsia="zh-CN"/>
              </w:rPr>
              <w:t xml:space="preserve">9.EXECUTION IN </w:t>
            </w:r>
            <w:r>
              <w:rPr>
                <w:b/>
                <w:kern w:val="20"/>
                <w:sz w:val="22"/>
                <w:szCs w:val="22"/>
                <w:lang w:val="en-US"/>
              </w:rPr>
              <w:t>WRITTEN FORM</w:t>
            </w:r>
          </w:p>
        </w:tc>
      </w:tr>
      <w:tr>
        <w:tblPrEx>
          <w:tblLayout w:type="fixed"/>
          <w:tblCellMar>
            <w:top w:w="0" w:type="dxa"/>
            <w:left w:w="108" w:type="dxa"/>
            <w:bottom w:w="0" w:type="dxa"/>
            <w:right w:w="108" w:type="dxa"/>
          </w:tblCellMar>
        </w:tblPrEx>
        <w:tc>
          <w:tcPr>
            <w:tcW w:w="5032" w:type="dxa"/>
          </w:tcPr>
          <w:p>
            <w:pPr>
              <w:spacing w:after="200"/>
              <w:contextualSpacing/>
              <w:jc w:val="both"/>
              <w:rPr>
                <w:b/>
                <w:color w:val="0000FF"/>
                <w:kern w:val="20"/>
                <w:sz w:val="22"/>
                <w:szCs w:val="22"/>
              </w:rPr>
            </w:pPr>
            <w:r>
              <w:rPr>
                <w:kern w:val="20"/>
                <w:sz w:val="22"/>
                <w:szCs w:val="22"/>
              </w:rPr>
              <w:t xml:space="preserve">9.1 Договора, изменения и поправки к контрактам наряду с другими соглашениями являются обязательными в случае, если Приемщик  оформляет их в письменной форме. Любое отклонение от требования, изложенного в письменной форме, должно быть оформлено также письменно. Любые изменения и дополнения к этому контракту должны согласоваться между обеими сторонами посредством заверения подписью и печатью организации.  </w:t>
            </w:r>
          </w:p>
        </w:tc>
        <w:tc>
          <w:tcPr>
            <w:tcW w:w="5033" w:type="dxa"/>
          </w:tcPr>
          <w:p>
            <w:pPr>
              <w:spacing w:after="200"/>
              <w:contextualSpacing/>
              <w:rPr>
                <w:kern w:val="20"/>
                <w:sz w:val="22"/>
                <w:szCs w:val="22"/>
                <w:lang w:val="en-US"/>
              </w:rPr>
            </w:pPr>
            <w:r>
              <w:rPr>
                <w:rFonts w:eastAsia="SimSun"/>
                <w:kern w:val="20"/>
                <w:sz w:val="22"/>
                <w:szCs w:val="22"/>
                <w:lang w:val="en-US" w:eastAsia="zh-CN"/>
              </w:rPr>
              <w:t xml:space="preserve">9.1 </w:t>
            </w:r>
            <w:r>
              <w:rPr>
                <w:kern w:val="20"/>
                <w:sz w:val="22"/>
                <w:szCs w:val="22"/>
                <w:lang w:val="en-US"/>
              </w:rPr>
              <w:t>Contracts, changes and amendments to contracts and other agreements are only binding if they are issued by Reciever in writing. Any variation to the written-form requirement also needs to be set out in writing. Any changes to this contract or amendments have to be agreed by both parties by signature and stamp of company.</w:t>
            </w:r>
          </w:p>
          <w:p>
            <w:pPr>
              <w:spacing w:after="200"/>
              <w:contextualSpacing/>
              <w:rPr>
                <w:rFonts w:eastAsia="SimSun"/>
                <w:b/>
                <w:kern w:val="20"/>
                <w:sz w:val="22"/>
                <w:szCs w:val="22"/>
                <w:lang w:val="en-US" w:eastAsia="zh-CN"/>
              </w:rPr>
            </w:pPr>
          </w:p>
          <w:p>
            <w:pPr>
              <w:spacing w:after="200"/>
              <w:contextualSpacing/>
              <w:rPr>
                <w:rFonts w:eastAsia="SimSun"/>
                <w:b/>
                <w:kern w:val="20"/>
                <w:sz w:val="22"/>
                <w:szCs w:val="22"/>
                <w:lang w:val="en-US" w:eastAsia="zh-CN"/>
              </w:rPr>
            </w:pP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b/>
                <w:kern w:val="20"/>
                <w:sz w:val="22"/>
                <w:szCs w:val="22"/>
              </w:rPr>
              <w:t>1</w:t>
            </w:r>
            <w:r>
              <w:rPr>
                <w:b/>
                <w:kern w:val="20"/>
                <w:sz w:val="22"/>
                <w:szCs w:val="22"/>
                <w:lang w:val="en-US"/>
              </w:rPr>
              <w:t>0</w:t>
            </w:r>
            <w:r>
              <w:rPr>
                <w:b/>
                <w:kern w:val="20"/>
                <w:sz w:val="22"/>
                <w:szCs w:val="22"/>
              </w:rPr>
              <w:t>. ФОРС-МАЖОР</w:t>
            </w:r>
          </w:p>
        </w:tc>
        <w:tc>
          <w:tcPr>
            <w:tcW w:w="5033" w:type="dxa"/>
          </w:tcPr>
          <w:p>
            <w:pPr>
              <w:spacing w:after="200"/>
              <w:contextualSpacing/>
              <w:rPr>
                <w:rFonts w:eastAsia="SimSun"/>
                <w:kern w:val="20"/>
                <w:sz w:val="22"/>
                <w:szCs w:val="22"/>
                <w:lang w:val="en-US" w:eastAsia="zh-CN"/>
              </w:rPr>
            </w:pPr>
            <w:r>
              <w:rPr>
                <w:rFonts w:eastAsia="SimSun"/>
                <w:b/>
                <w:kern w:val="20"/>
                <w:sz w:val="22"/>
                <w:szCs w:val="22"/>
                <w:lang w:val="en-US" w:eastAsia="zh-CN"/>
              </w:rPr>
              <w:t xml:space="preserve">10. </w:t>
            </w:r>
            <w:r>
              <w:rPr>
                <w:b/>
                <w:kern w:val="20"/>
                <w:sz w:val="22"/>
                <w:szCs w:val="22"/>
                <w:lang w:val="en-US"/>
              </w:rPr>
              <w:t>FORCE MAJEURE</w:t>
            </w: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kern w:val="20"/>
                <w:sz w:val="22"/>
                <w:szCs w:val="22"/>
              </w:rPr>
              <w:t xml:space="preserve">10.1 Ни одна из Сторон не несет ответственность за невыполнение своих обязательств, если выполнению обязательств соответствующей Стороной препятствовали форс-мажорные обстоятельства. К форс-мажорным обстоятельствам относятся такие обстоятельства, которые находятся не во власти Сторон и которые не могли бы быть предусмотрены, включая но не ограничиваясь природные бедствия, войны, пожары, катастрофы, судебные процедуры и обязательные постановления, которые делают неосуществимыми  контрактные обязательства. Сторона, которая не может выполнять контрактные обязательства из-за форс-мажорных обстоятельств, должна направить письменное уведомление другой Стороне в течение 10 (десять) рабочих дней  с приложением документа, выданного соответствующим органом власти, подтверждающим наличие форс-мажорных обстоятельств.    </w:t>
            </w:r>
          </w:p>
        </w:tc>
        <w:tc>
          <w:tcPr>
            <w:tcW w:w="5033" w:type="dxa"/>
          </w:tcPr>
          <w:p>
            <w:pPr>
              <w:spacing w:after="200"/>
              <w:contextualSpacing/>
              <w:rPr>
                <w:kern w:val="20"/>
                <w:sz w:val="22"/>
                <w:szCs w:val="22"/>
                <w:lang w:val="en-US"/>
              </w:rPr>
            </w:pPr>
            <w:r>
              <w:rPr>
                <w:rFonts w:eastAsia="SimSun"/>
                <w:kern w:val="20"/>
                <w:sz w:val="22"/>
                <w:szCs w:val="22"/>
                <w:lang w:val="en-US" w:eastAsia="zh-CN"/>
              </w:rPr>
              <w:t xml:space="preserve">10.1 </w:t>
            </w:r>
            <w:r>
              <w:rPr>
                <w:kern w:val="20"/>
                <w:sz w:val="22"/>
                <w:szCs w:val="22"/>
                <w:lang w:val="en-US"/>
              </w:rPr>
              <w:t>Neither Party is responsible for the non fulfillment of its obligations if the fulfillment of the obligations of respective Party was hampered by force majeure circumstances. Force majeure circumstances are considered such circumstances beyond the Parties control and that could not be foreseeable, including but not limited to natural disasters, wars, fires, accidents, judicial procedures and obligatory  laws  that make the</w:t>
            </w:r>
            <w:r>
              <w:rPr>
                <w:rFonts w:eastAsia="SimSun"/>
                <w:kern w:val="20"/>
                <w:sz w:val="22"/>
                <w:szCs w:val="22"/>
                <w:lang w:val="en-US" w:eastAsia="zh-CN"/>
              </w:rPr>
              <w:t xml:space="preserve"> </w:t>
            </w:r>
            <w:r>
              <w:rPr>
                <w:kern w:val="20"/>
                <w:sz w:val="22"/>
                <w:szCs w:val="22"/>
                <w:lang w:val="en-US"/>
              </w:rPr>
              <w:t>contractual obligations impracticable.</w:t>
            </w:r>
            <w:r>
              <w:rPr>
                <w:rFonts w:eastAsia="SimSun"/>
                <w:kern w:val="20"/>
                <w:sz w:val="22"/>
                <w:szCs w:val="22"/>
                <w:lang w:val="en-US" w:eastAsia="zh-CN"/>
              </w:rPr>
              <w:t xml:space="preserve"> </w:t>
            </w:r>
            <w:r>
              <w:rPr>
                <w:kern w:val="20"/>
                <w:sz w:val="22"/>
                <w:szCs w:val="22"/>
                <w:lang w:val="en-US"/>
              </w:rPr>
              <w:t>The Party for which the performance of contractual obligations are hampered by force majeure circumstances shall notify in written the other Party within 10 (ten) working days, adding a certificate of competent authority on the presence of force majeure circumstances.</w:t>
            </w:r>
          </w:p>
          <w:p>
            <w:pPr>
              <w:spacing w:after="200"/>
              <w:contextualSpacing/>
              <w:rPr>
                <w:rFonts w:eastAsia="SimSun"/>
                <w:b/>
                <w:kern w:val="20"/>
                <w:sz w:val="22"/>
                <w:szCs w:val="22"/>
                <w:lang w:val="en-US" w:eastAsia="zh-CN"/>
              </w:rPr>
            </w:pP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b/>
                <w:kern w:val="20"/>
                <w:sz w:val="22"/>
                <w:szCs w:val="22"/>
              </w:rPr>
              <w:t>1</w:t>
            </w:r>
            <w:r>
              <w:rPr>
                <w:b/>
                <w:kern w:val="20"/>
                <w:sz w:val="22"/>
                <w:szCs w:val="22"/>
                <w:lang w:val="en-US"/>
              </w:rPr>
              <w:t>1</w:t>
            </w:r>
            <w:r>
              <w:rPr>
                <w:b/>
                <w:kern w:val="20"/>
                <w:sz w:val="22"/>
                <w:szCs w:val="22"/>
              </w:rPr>
              <w:t>. ТРЕТЕЙСКИЙ СУД</w:t>
            </w:r>
          </w:p>
        </w:tc>
        <w:tc>
          <w:tcPr>
            <w:tcW w:w="5033" w:type="dxa"/>
          </w:tcPr>
          <w:p>
            <w:pPr>
              <w:spacing w:after="200"/>
              <w:contextualSpacing/>
              <w:rPr>
                <w:rFonts w:eastAsia="SimSun"/>
                <w:kern w:val="20"/>
                <w:sz w:val="22"/>
                <w:szCs w:val="22"/>
                <w:lang w:val="en-US" w:eastAsia="zh-CN"/>
              </w:rPr>
            </w:pPr>
            <w:r>
              <w:rPr>
                <w:rFonts w:eastAsia="SimSun"/>
                <w:b/>
                <w:kern w:val="20"/>
                <w:sz w:val="22"/>
                <w:szCs w:val="22"/>
                <w:lang w:val="en-US" w:eastAsia="zh-CN"/>
              </w:rPr>
              <w:t xml:space="preserve">11. </w:t>
            </w:r>
            <w:r>
              <w:rPr>
                <w:b/>
                <w:kern w:val="20"/>
                <w:sz w:val="22"/>
                <w:szCs w:val="22"/>
                <w:lang w:val="en-US"/>
              </w:rPr>
              <w:t>ARBITRATION</w:t>
            </w: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kern w:val="20"/>
                <w:sz w:val="22"/>
                <w:szCs w:val="22"/>
              </w:rPr>
              <w:t xml:space="preserve">11.1. Все споры и разногласия по данному контракту или в </w:t>
            </w:r>
            <w:r>
              <w:rPr>
                <w:kern w:val="20"/>
                <w:sz w:val="22"/>
                <w:szCs w:val="22"/>
                <w:lang w:val="en-US"/>
              </w:rPr>
              <w:t>c</w:t>
            </w:r>
            <w:r>
              <w:rPr>
                <w:kern w:val="20"/>
                <w:sz w:val="22"/>
                <w:szCs w:val="22"/>
              </w:rPr>
              <w:t xml:space="preserve">вязи с настоящим контрактом, его толкованием, исполнением, прекращением или недействительностью, и невозможности их решения дружелюбным путем в течение 60 дней, подлежат рассмотрению в Международном коммерческом арбитражном суде Торгово-промышленной палаты РФ, г. Москва, в соответствии с процедурами данного суда. Решение суда является окончательным и обязательным для обеих сторон. Обращение в другие суды исключается. В качестве языка судопроизводства будет использоваться русский  язык. Судебные издержки должна нести проигравшая сторона, если не будет принято иное решение. В течение арбитражного разбирательства обе стороны продолжают выполнять частичные условия и положения контракта, которые не решаются в арбитражном порядке. </w:t>
            </w:r>
          </w:p>
          <w:p>
            <w:pPr>
              <w:spacing w:after="200"/>
              <w:contextualSpacing/>
              <w:jc w:val="both"/>
              <w:rPr>
                <w:kern w:val="20"/>
                <w:sz w:val="22"/>
                <w:szCs w:val="22"/>
              </w:rPr>
            </w:pPr>
            <w:r>
              <w:rPr>
                <w:kern w:val="20"/>
                <w:sz w:val="22"/>
                <w:szCs w:val="22"/>
              </w:rPr>
              <w:t xml:space="preserve">Право, применимое к настоящему контракту или в вопросах, имеющих отношение к нему   – материальное право Российской Федерации. </w:t>
            </w:r>
          </w:p>
          <w:p>
            <w:pPr>
              <w:spacing w:after="200"/>
              <w:contextualSpacing/>
              <w:jc w:val="both"/>
              <w:rPr>
                <w:kern w:val="20"/>
                <w:sz w:val="22"/>
                <w:szCs w:val="22"/>
              </w:rPr>
            </w:pPr>
          </w:p>
          <w:p>
            <w:pPr>
              <w:spacing w:after="200"/>
              <w:contextualSpacing/>
              <w:jc w:val="both"/>
              <w:rPr>
                <w:kern w:val="20"/>
                <w:sz w:val="22"/>
                <w:szCs w:val="22"/>
              </w:rPr>
            </w:pPr>
          </w:p>
        </w:tc>
        <w:tc>
          <w:tcPr>
            <w:tcW w:w="5033" w:type="dxa"/>
          </w:tcPr>
          <w:p>
            <w:pPr>
              <w:spacing w:after="200"/>
              <w:contextualSpacing/>
              <w:rPr>
                <w:rFonts w:eastAsia="SimSun"/>
                <w:kern w:val="20"/>
                <w:sz w:val="22"/>
                <w:szCs w:val="22"/>
                <w:lang w:val="en-US" w:eastAsia="zh-CN"/>
              </w:rPr>
            </w:pPr>
            <w:r>
              <w:rPr>
                <w:rFonts w:eastAsia="SimSun"/>
                <w:kern w:val="20"/>
                <w:sz w:val="22"/>
                <w:szCs w:val="22"/>
                <w:lang w:val="en-US" w:eastAsia="zh-CN"/>
              </w:rPr>
              <w:t xml:space="preserve">11.1. Any dispute and difference arising of or in connection with the present  contract,  its interpretation, execution, termination or invalidity and in case of impossibility of resolving it in a friendly way within 60 days , shall be settled by the International Commercial Arbitration Court at the Russian Federation Chamber of Commerce and Industry, Moscow, in accordance with procedures of this Court. </w:t>
            </w:r>
            <w:r>
              <w:rPr>
                <w:rFonts w:eastAsia="SimSun"/>
                <w:kern w:val="20"/>
                <w:sz w:val="22"/>
                <w:szCs w:val="22"/>
                <w:lang w:val="en-GB" w:eastAsia="zh-CN"/>
              </w:rPr>
              <w:t>The decision of the Court shall be final for both Parties. The reference to another court is forbidden.</w:t>
            </w:r>
            <w:r>
              <w:rPr>
                <w:rFonts w:eastAsia="SimSun"/>
                <w:kern w:val="20"/>
                <w:sz w:val="22"/>
                <w:szCs w:val="22"/>
                <w:lang w:val="en-US" w:eastAsia="zh-CN"/>
              </w:rPr>
              <w:t xml:space="preserve"> The legal procedure shall be executed in the Russian language.</w:t>
            </w:r>
          </w:p>
          <w:p>
            <w:pPr>
              <w:spacing w:after="200"/>
              <w:contextualSpacing/>
              <w:rPr>
                <w:kern w:val="20"/>
                <w:sz w:val="22"/>
                <w:szCs w:val="22"/>
                <w:lang w:val="en-US"/>
              </w:rPr>
            </w:pPr>
            <w:r>
              <w:rPr>
                <w:kern w:val="20"/>
                <w:sz w:val="22"/>
                <w:szCs w:val="22"/>
                <w:lang w:val="en-US"/>
              </w:rPr>
              <w:t>The arbitration fee shall be borne by the losing party unless otherwise awarded. During the arbitration the two parties should still carry out partial contract terms which are not arbitrated.</w:t>
            </w:r>
          </w:p>
          <w:p>
            <w:pPr>
              <w:spacing w:after="200"/>
              <w:contextualSpacing/>
              <w:rPr>
                <w:b/>
                <w:kern w:val="20"/>
                <w:sz w:val="22"/>
                <w:szCs w:val="22"/>
                <w:lang w:val="en-US"/>
              </w:rPr>
            </w:pPr>
            <w:r>
              <w:rPr>
                <w:kern w:val="20"/>
                <w:sz w:val="22"/>
                <w:szCs w:val="22"/>
                <w:lang w:val="en-US"/>
              </w:rPr>
              <w:t xml:space="preserve">The governing law of the present contract and of relationships in connection with it shall be the substantive law of the Russian Federation. </w:t>
            </w: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b/>
                <w:kern w:val="20"/>
                <w:sz w:val="22"/>
                <w:szCs w:val="22"/>
              </w:rPr>
              <w:t>1</w:t>
            </w:r>
            <w:r>
              <w:rPr>
                <w:b/>
                <w:kern w:val="20"/>
                <w:sz w:val="22"/>
                <w:szCs w:val="22"/>
                <w:lang w:val="en-US"/>
              </w:rPr>
              <w:t>2</w:t>
            </w:r>
            <w:r>
              <w:rPr>
                <w:b/>
                <w:kern w:val="20"/>
                <w:sz w:val="22"/>
                <w:szCs w:val="22"/>
              </w:rPr>
              <w:t>. ЮРИДИЧЕСКОЕ ДЕЙСТВИЕ</w:t>
            </w:r>
          </w:p>
        </w:tc>
        <w:tc>
          <w:tcPr>
            <w:tcW w:w="5033" w:type="dxa"/>
          </w:tcPr>
          <w:p>
            <w:pPr>
              <w:spacing w:after="200"/>
              <w:contextualSpacing/>
              <w:rPr>
                <w:rFonts w:eastAsia="SimSun"/>
                <w:kern w:val="20"/>
                <w:sz w:val="22"/>
                <w:szCs w:val="22"/>
                <w:lang w:val="en-US" w:eastAsia="zh-CN"/>
              </w:rPr>
            </w:pPr>
            <w:r>
              <w:rPr>
                <w:b/>
                <w:kern w:val="20"/>
                <w:sz w:val="22"/>
                <w:szCs w:val="22"/>
                <w:lang w:val="en-US"/>
              </w:rPr>
              <w:t>12.VALIDITY</w:t>
            </w:r>
          </w:p>
        </w:tc>
      </w:tr>
      <w:tr>
        <w:tblPrEx>
          <w:tblLayout w:type="fixed"/>
          <w:tblCellMar>
            <w:top w:w="0" w:type="dxa"/>
            <w:left w:w="108" w:type="dxa"/>
            <w:bottom w:w="0" w:type="dxa"/>
            <w:right w:w="108" w:type="dxa"/>
          </w:tblCellMar>
        </w:tblPrEx>
        <w:tc>
          <w:tcPr>
            <w:tcW w:w="5032" w:type="dxa"/>
          </w:tcPr>
          <w:p>
            <w:pPr>
              <w:spacing w:after="200"/>
              <w:contextualSpacing/>
              <w:jc w:val="both"/>
              <w:rPr>
                <w:b/>
                <w:kern w:val="20"/>
                <w:sz w:val="22"/>
                <w:szCs w:val="22"/>
              </w:rPr>
            </w:pPr>
            <w:r>
              <w:rPr>
                <w:kern w:val="20"/>
                <w:sz w:val="22"/>
                <w:szCs w:val="22"/>
              </w:rPr>
              <w:t xml:space="preserve">12.1 </w:t>
            </w:r>
            <w:r>
              <w:rPr>
                <w:sz w:val="22"/>
                <w:szCs w:val="22"/>
              </w:rPr>
              <w:t>Срок действия контракта-с даты подписания обеими сторонами и до момента исполнения сторонами обязательств по Контракту, но не позднее___25.02.2018___</w:t>
            </w:r>
          </w:p>
        </w:tc>
        <w:tc>
          <w:tcPr>
            <w:tcW w:w="5033" w:type="dxa"/>
          </w:tcPr>
          <w:p>
            <w:pPr>
              <w:rPr>
                <w:b/>
                <w:sz w:val="22"/>
                <w:szCs w:val="22"/>
                <w:lang w:val="en-US"/>
              </w:rPr>
            </w:pPr>
            <w:r>
              <w:rPr>
                <w:rFonts w:eastAsia="SimSun"/>
                <w:kern w:val="20"/>
                <w:sz w:val="22"/>
                <w:szCs w:val="22"/>
                <w:lang w:val="en-US" w:eastAsia="zh-CN"/>
              </w:rPr>
              <w:t xml:space="preserve">12.1 </w:t>
            </w:r>
            <w:r>
              <w:rPr>
                <w:kern w:val="20"/>
                <w:sz w:val="22"/>
                <w:szCs w:val="22"/>
                <w:lang w:val="en-US"/>
              </w:rPr>
              <w:t xml:space="preserve">This contract shall take effect once it is signed by the both parties till </w:t>
            </w:r>
            <w:r>
              <w:rPr>
                <w:sz w:val="22"/>
                <w:szCs w:val="22"/>
                <w:lang w:val="en-US"/>
              </w:rPr>
              <w:t>until the moment of the obligation fulfillment by the parties under the contract but not later than____25.02.2018___</w:t>
            </w:r>
          </w:p>
          <w:p>
            <w:pPr>
              <w:spacing w:after="200"/>
              <w:contextualSpacing/>
              <w:jc w:val="both"/>
              <w:rPr>
                <w:b/>
                <w:kern w:val="20"/>
                <w:sz w:val="22"/>
                <w:szCs w:val="22"/>
                <w:lang w:val="en-US"/>
              </w:rPr>
            </w:pPr>
          </w:p>
        </w:tc>
      </w:tr>
      <w:tr>
        <w:tblPrEx>
          <w:tblLayout w:type="fixed"/>
          <w:tblCellMar>
            <w:top w:w="0" w:type="dxa"/>
            <w:left w:w="108" w:type="dxa"/>
            <w:bottom w:w="0" w:type="dxa"/>
            <w:right w:w="108" w:type="dxa"/>
          </w:tblCellMar>
        </w:tblPrEx>
        <w:tc>
          <w:tcPr>
            <w:tcW w:w="5032" w:type="dxa"/>
          </w:tcPr>
          <w:p>
            <w:pPr>
              <w:spacing w:after="200"/>
              <w:contextualSpacing/>
              <w:jc w:val="both"/>
              <w:rPr>
                <w:kern w:val="20"/>
                <w:sz w:val="22"/>
                <w:szCs w:val="22"/>
              </w:rPr>
            </w:pPr>
            <w:r>
              <w:rPr>
                <w:rFonts w:eastAsia="SimSun"/>
                <w:b/>
                <w:kern w:val="20"/>
                <w:sz w:val="22"/>
                <w:szCs w:val="22"/>
                <w:lang w:eastAsia="zh-CN"/>
              </w:rPr>
              <w:t>1</w:t>
            </w:r>
            <w:r>
              <w:rPr>
                <w:rFonts w:eastAsia="SimSun"/>
                <w:b/>
                <w:kern w:val="20"/>
                <w:sz w:val="22"/>
                <w:szCs w:val="22"/>
                <w:lang w:val="en-US" w:eastAsia="zh-CN"/>
              </w:rPr>
              <w:t>3</w:t>
            </w:r>
            <w:r>
              <w:rPr>
                <w:rFonts w:eastAsia="SimSun"/>
                <w:b/>
                <w:kern w:val="20"/>
                <w:sz w:val="22"/>
                <w:szCs w:val="22"/>
                <w:lang w:eastAsia="zh-CN"/>
              </w:rPr>
              <w:t xml:space="preserve">. </w:t>
            </w:r>
            <w:r>
              <w:rPr>
                <w:b/>
                <w:kern w:val="20"/>
                <w:sz w:val="22"/>
                <w:szCs w:val="22"/>
              </w:rPr>
              <w:t>ПРОЧИЕ УСЛОВИЯ</w:t>
            </w:r>
          </w:p>
        </w:tc>
        <w:tc>
          <w:tcPr>
            <w:tcW w:w="5033" w:type="dxa"/>
          </w:tcPr>
          <w:p>
            <w:pPr>
              <w:spacing w:after="200"/>
              <w:contextualSpacing/>
              <w:jc w:val="both"/>
              <w:rPr>
                <w:rFonts w:eastAsia="SimSun"/>
                <w:kern w:val="20"/>
                <w:sz w:val="22"/>
                <w:szCs w:val="22"/>
                <w:lang w:eastAsia="zh-CN"/>
              </w:rPr>
            </w:pPr>
            <w:r>
              <w:rPr>
                <w:rFonts w:eastAsia="SimSun"/>
                <w:b/>
                <w:kern w:val="20"/>
                <w:sz w:val="22"/>
                <w:szCs w:val="22"/>
                <w:lang w:eastAsia="zh-CN"/>
              </w:rPr>
              <w:t>1</w:t>
            </w:r>
            <w:r>
              <w:rPr>
                <w:rFonts w:eastAsia="SimSun"/>
                <w:b/>
                <w:kern w:val="20"/>
                <w:sz w:val="22"/>
                <w:szCs w:val="22"/>
                <w:lang w:val="en-US" w:eastAsia="zh-CN"/>
              </w:rPr>
              <w:t>3</w:t>
            </w:r>
            <w:r>
              <w:rPr>
                <w:rFonts w:eastAsia="SimSun"/>
                <w:b/>
                <w:kern w:val="20"/>
                <w:sz w:val="22"/>
                <w:szCs w:val="22"/>
                <w:lang w:eastAsia="zh-CN"/>
              </w:rPr>
              <w:t xml:space="preserve">. </w:t>
            </w:r>
            <w:r>
              <w:rPr>
                <w:b/>
                <w:kern w:val="20"/>
                <w:sz w:val="22"/>
                <w:szCs w:val="22"/>
                <w:lang w:val="en-US"/>
              </w:rPr>
              <w:t>OTHER</w:t>
            </w:r>
            <w:r>
              <w:rPr>
                <w:b/>
                <w:kern w:val="20"/>
                <w:sz w:val="22"/>
                <w:szCs w:val="22"/>
              </w:rPr>
              <w:t xml:space="preserve"> </w:t>
            </w:r>
            <w:r>
              <w:rPr>
                <w:b/>
                <w:kern w:val="20"/>
                <w:sz w:val="22"/>
                <w:szCs w:val="22"/>
                <w:lang w:val="en-US"/>
              </w:rPr>
              <w:t>TERMS</w:t>
            </w:r>
          </w:p>
        </w:tc>
      </w:tr>
      <w:tr>
        <w:tblPrEx>
          <w:tblLayout w:type="fixed"/>
          <w:tblCellMar>
            <w:top w:w="0" w:type="dxa"/>
            <w:left w:w="108" w:type="dxa"/>
            <w:bottom w:w="0" w:type="dxa"/>
            <w:right w:w="108" w:type="dxa"/>
          </w:tblCellMar>
        </w:tblPrEx>
        <w:tc>
          <w:tcPr>
            <w:tcW w:w="5032" w:type="dxa"/>
          </w:tcPr>
          <w:p>
            <w:pPr>
              <w:spacing w:after="200"/>
              <w:contextualSpacing/>
              <w:jc w:val="both"/>
              <w:rPr>
                <w:rFonts w:eastAsia="SimSun"/>
                <w:kern w:val="20"/>
                <w:sz w:val="22"/>
                <w:szCs w:val="22"/>
                <w:lang w:eastAsia="zh-CN"/>
              </w:rPr>
            </w:pPr>
            <w:r>
              <w:rPr>
                <w:rFonts w:eastAsia="SimSun"/>
                <w:kern w:val="20"/>
                <w:sz w:val="22"/>
                <w:szCs w:val="22"/>
                <w:lang w:eastAsia="zh-CN"/>
              </w:rPr>
              <w:t xml:space="preserve">13.1. Все изменения и дополнения к настоящему контракту являются неотъемлемой его частью и действительны только при условии, что они выполнены в письменной форме и подписаны обеими сторонами контракта. </w:t>
            </w:r>
          </w:p>
          <w:p>
            <w:pPr>
              <w:spacing w:after="200"/>
              <w:contextualSpacing/>
              <w:jc w:val="both"/>
              <w:rPr>
                <w:rFonts w:eastAsia="SimSun"/>
                <w:kern w:val="20"/>
                <w:sz w:val="22"/>
                <w:szCs w:val="22"/>
                <w:lang w:eastAsia="zh-CN"/>
              </w:rPr>
            </w:pPr>
            <w:r>
              <w:rPr>
                <w:rFonts w:eastAsia="SimSun"/>
                <w:kern w:val="20"/>
                <w:sz w:val="22"/>
                <w:szCs w:val="22"/>
                <w:lang w:eastAsia="zh-CN"/>
              </w:rPr>
              <w:t>13.2. Ни одна из сторон не имеет права передавать свои права и обязанности по данному контракту третьей стороне без письменного согласия другой Стороны.</w:t>
            </w:r>
          </w:p>
          <w:p>
            <w:pPr>
              <w:spacing w:after="200"/>
              <w:contextualSpacing/>
              <w:jc w:val="both"/>
              <w:rPr>
                <w:rFonts w:eastAsia="SimSun"/>
                <w:kern w:val="20"/>
                <w:sz w:val="22"/>
                <w:szCs w:val="22"/>
                <w:lang w:eastAsia="zh-CN"/>
              </w:rPr>
            </w:pPr>
            <w:r>
              <w:rPr>
                <w:rFonts w:eastAsia="SimSun"/>
                <w:kern w:val="20"/>
                <w:sz w:val="22"/>
                <w:szCs w:val="22"/>
                <w:lang w:eastAsia="zh-CN"/>
              </w:rPr>
              <w:t xml:space="preserve">13.3. С момента подписания настоящего контракта предыдущие переговоры и переписка по нему теряют силу. </w:t>
            </w:r>
          </w:p>
          <w:p>
            <w:pPr>
              <w:spacing w:after="200"/>
              <w:contextualSpacing/>
              <w:jc w:val="both"/>
              <w:rPr>
                <w:rFonts w:eastAsia="SimSun"/>
                <w:kern w:val="20"/>
                <w:sz w:val="22"/>
                <w:szCs w:val="22"/>
                <w:lang w:eastAsia="zh-CN"/>
              </w:rPr>
            </w:pPr>
            <w:r>
              <w:rPr>
                <w:rFonts w:eastAsia="SimSun"/>
                <w:kern w:val="20"/>
                <w:sz w:val="22"/>
                <w:szCs w:val="22"/>
                <w:lang w:eastAsia="zh-CN"/>
              </w:rPr>
              <w:t>13.4. Настоящий контракт составлен в 2-х экземплярах, имеющих одинаковую юридическую силу.  Допускается подписание контракта с помощью средств факсимильной и электронной  связи.</w:t>
            </w:r>
          </w:p>
          <w:p>
            <w:pPr>
              <w:spacing w:after="200"/>
              <w:contextualSpacing/>
              <w:jc w:val="both"/>
              <w:rPr>
                <w:rFonts w:eastAsia="SimSun"/>
                <w:b/>
                <w:kern w:val="20"/>
                <w:sz w:val="22"/>
                <w:szCs w:val="22"/>
                <w:lang w:eastAsia="zh-CN"/>
              </w:rPr>
            </w:pPr>
          </w:p>
          <w:p>
            <w:pPr>
              <w:spacing w:after="200"/>
              <w:contextualSpacing/>
              <w:jc w:val="both"/>
              <w:rPr>
                <w:rFonts w:eastAsia="SimSun"/>
                <w:b/>
                <w:kern w:val="20"/>
                <w:sz w:val="22"/>
                <w:szCs w:val="22"/>
                <w:lang w:eastAsia="zh-CN"/>
              </w:rPr>
            </w:pPr>
          </w:p>
        </w:tc>
        <w:tc>
          <w:tcPr>
            <w:tcW w:w="5033" w:type="dxa"/>
          </w:tcPr>
          <w:p>
            <w:pPr>
              <w:spacing w:after="200"/>
              <w:contextualSpacing/>
              <w:jc w:val="both"/>
              <w:rPr>
                <w:rFonts w:eastAsia="SimSun"/>
                <w:kern w:val="20"/>
                <w:sz w:val="22"/>
                <w:szCs w:val="22"/>
                <w:lang w:val="en-US" w:eastAsia="zh-CN"/>
              </w:rPr>
            </w:pPr>
            <w:r>
              <w:rPr>
                <w:rFonts w:eastAsia="SimSun"/>
                <w:kern w:val="20"/>
                <w:sz w:val="22"/>
                <w:szCs w:val="22"/>
                <w:lang w:val="en-US" w:eastAsia="zh-CN"/>
              </w:rPr>
              <w:t>13.1. All amendments and addenda to the present contract are to be considered its integral part and valid only on condition of being made in a written form and signed by both Parties.</w:t>
            </w:r>
          </w:p>
          <w:p>
            <w:pPr>
              <w:spacing w:after="200"/>
              <w:contextualSpacing/>
              <w:jc w:val="both"/>
              <w:rPr>
                <w:rFonts w:eastAsia="SimSun"/>
                <w:kern w:val="20"/>
                <w:sz w:val="22"/>
                <w:szCs w:val="22"/>
                <w:lang w:val="en-US" w:eastAsia="zh-CN"/>
              </w:rPr>
            </w:pPr>
            <w:r>
              <w:rPr>
                <w:rFonts w:eastAsia="SimSun"/>
                <w:kern w:val="20"/>
                <w:sz w:val="22"/>
                <w:szCs w:val="22"/>
                <w:lang w:val="en-US" w:eastAsia="zh-CN"/>
              </w:rPr>
              <w:t xml:space="preserve"> </w:t>
            </w:r>
          </w:p>
          <w:p>
            <w:pPr>
              <w:spacing w:after="200"/>
              <w:contextualSpacing/>
              <w:jc w:val="both"/>
              <w:rPr>
                <w:rFonts w:eastAsia="SimSun"/>
                <w:kern w:val="20"/>
                <w:sz w:val="22"/>
                <w:szCs w:val="22"/>
                <w:lang w:val="en-US" w:eastAsia="zh-CN"/>
              </w:rPr>
            </w:pPr>
            <w:r>
              <w:rPr>
                <w:rFonts w:eastAsia="SimSun"/>
                <w:kern w:val="20"/>
                <w:sz w:val="22"/>
                <w:szCs w:val="22"/>
                <w:lang w:val="en-US" w:eastAsia="zh-CN"/>
              </w:rPr>
              <w:t>13.2. Neither Party has the right to assign its obligations and rights under the present contract to any third Party without written consent of the other Party.</w:t>
            </w:r>
          </w:p>
          <w:p>
            <w:pPr>
              <w:spacing w:after="200"/>
              <w:contextualSpacing/>
              <w:jc w:val="both"/>
              <w:rPr>
                <w:rFonts w:eastAsia="SimSun"/>
                <w:kern w:val="20"/>
                <w:sz w:val="22"/>
                <w:szCs w:val="22"/>
                <w:lang w:val="en-US" w:eastAsia="zh-CN"/>
              </w:rPr>
            </w:pPr>
            <w:r>
              <w:rPr>
                <w:rFonts w:eastAsia="SimSun"/>
                <w:kern w:val="20"/>
                <w:sz w:val="22"/>
                <w:szCs w:val="22"/>
                <w:lang w:val="en-US" w:eastAsia="zh-CN"/>
              </w:rPr>
              <w:t xml:space="preserve">13.3. After signing the contract all preliminary agreements, discussions and correspondence between the Parties concerning this contract are to be considered invalid. </w:t>
            </w:r>
          </w:p>
          <w:p>
            <w:pPr>
              <w:spacing w:after="200"/>
              <w:contextualSpacing/>
              <w:jc w:val="both"/>
              <w:rPr>
                <w:rFonts w:eastAsia="SimSun"/>
                <w:kern w:val="20"/>
                <w:sz w:val="22"/>
                <w:szCs w:val="22"/>
                <w:lang w:val="en-US" w:eastAsia="zh-CN"/>
              </w:rPr>
            </w:pPr>
            <w:r>
              <w:rPr>
                <w:rFonts w:eastAsia="SimSun"/>
                <w:kern w:val="20"/>
                <w:sz w:val="22"/>
                <w:szCs w:val="22"/>
                <w:lang w:val="en-US" w:eastAsia="zh-CN"/>
              </w:rPr>
              <w:t xml:space="preserve">13.4. The present contract is made in 2 copies, which have equal legal force.  It is permitted to sign the contract by facsimile and electronic communication means. </w:t>
            </w:r>
          </w:p>
          <w:p>
            <w:pPr>
              <w:spacing w:after="200"/>
              <w:contextualSpacing/>
              <w:jc w:val="both"/>
              <w:rPr>
                <w:rFonts w:eastAsia="SimSun"/>
                <w:kern w:val="20"/>
                <w:sz w:val="22"/>
                <w:szCs w:val="22"/>
                <w:lang w:val="en-US" w:eastAsia="zh-CN"/>
              </w:rPr>
            </w:pPr>
          </w:p>
        </w:tc>
      </w:tr>
      <w:tr>
        <w:tblPrEx>
          <w:tblLayout w:type="fixed"/>
          <w:tblCellMar>
            <w:top w:w="0" w:type="dxa"/>
            <w:left w:w="108" w:type="dxa"/>
            <w:bottom w:w="0" w:type="dxa"/>
            <w:right w:w="108" w:type="dxa"/>
          </w:tblCellMar>
        </w:tblPrEx>
        <w:tc>
          <w:tcPr>
            <w:tcW w:w="5032" w:type="dxa"/>
          </w:tcPr>
          <w:p>
            <w:pPr>
              <w:jc w:val="center"/>
              <w:rPr>
                <w:b/>
                <w:sz w:val="22"/>
                <w:szCs w:val="22"/>
              </w:rPr>
            </w:pPr>
            <w:r>
              <w:rPr>
                <w:b/>
                <w:sz w:val="22"/>
                <w:szCs w:val="22"/>
                <w:lang w:val="en-US"/>
              </w:rPr>
              <w:t xml:space="preserve">14. </w:t>
            </w:r>
            <w:r>
              <w:rPr>
                <w:b/>
                <w:sz w:val="22"/>
                <w:szCs w:val="22"/>
              </w:rPr>
              <w:t>ЮРИДИЧЕСКИЕ АДРЕСА СТОРОН:</w:t>
            </w:r>
          </w:p>
        </w:tc>
        <w:tc>
          <w:tcPr>
            <w:tcW w:w="5033" w:type="dxa"/>
          </w:tcPr>
          <w:p>
            <w:pPr>
              <w:jc w:val="center"/>
              <w:rPr>
                <w:b/>
                <w:sz w:val="22"/>
                <w:szCs w:val="22"/>
                <w:lang w:val="en-US"/>
              </w:rPr>
            </w:pPr>
            <w:r>
              <w:rPr>
                <w:b/>
                <w:sz w:val="22"/>
                <w:szCs w:val="22"/>
                <w:lang w:val="en-US"/>
              </w:rPr>
              <w:t>14. LEGAL ADDRESSES OF THE PARTIES:</w:t>
            </w:r>
          </w:p>
          <w:p>
            <w:pPr>
              <w:jc w:val="center"/>
              <w:rPr>
                <w:sz w:val="22"/>
                <w:szCs w:val="22"/>
                <w:lang w:val="en-US"/>
              </w:rPr>
            </w:pPr>
          </w:p>
        </w:tc>
      </w:tr>
      <w:tr>
        <w:tblPrEx>
          <w:tblLayout w:type="fixed"/>
          <w:tblCellMar>
            <w:top w:w="0" w:type="dxa"/>
            <w:left w:w="108" w:type="dxa"/>
            <w:bottom w:w="0" w:type="dxa"/>
            <w:right w:w="108" w:type="dxa"/>
          </w:tblCellMar>
        </w:tblPrEx>
        <w:trPr>
          <w:trHeight w:val="621" w:hRule="atLeast"/>
        </w:trPr>
        <w:tc>
          <w:tcPr>
            <w:tcW w:w="5032" w:type="dxa"/>
          </w:tcPr>
          <w:p>
            <w:pPr>
              <w:rPr>
                <w:b/>
                <w:sz w:val="22"/>
                <w:szCs w:val="22"/>
              </w:rPr>
            </w:pPr>
            <w:r>
              <w:rPr>
                <w:b/>
                <w:sz w:val="22"/>
                <w:szCs w:val="22"/>
              </w:rPr>
              <w:t>ПОСТАВЩИК :</w:t>
            </w:r>
          </w:p>
          <w:p>
            <w:pPr>
              <w:rPr>
                <w:b/>
                <w:sz w:val="22"/>
                <w:szCs w:val="22"/>
              </w:rPr>
            </w:pPr>
            <w:r>
              <w:rPr>
                <w:b/>
                <w:sz w:val="22"/>
                <w:szCs w:val="22"/>
              </w:rPr>
              <w:t>ИНН:</w:t>
            </w:r>
          </w:p>
          <w:p>
            <w:pPr>
              <w:rPr>
                <w:b/>
                <w:sz w:val="22"/>
                <w:szCs w:val="22"/>
              </w:rPr>
            </w:pPr>
            <w:r>
              <w:rPr>
                <w:b/>
                <w:sz w:val="22"/>
                <w:szCs w:val="22"/>
              </w:rPr>
              <w:t>Юридический адрес:</w:t>
            </w:r>
          </w:p>
          <w:p>
            <w:pPr>
              <w:rPr>
                <w:b/>
                <w:sz w:val="22"/>
                <w:szCs w:val="22"/>
              </w:rPr>
            </w:pPr>
            <w:r>
              <w:rPr>
                <w:b/>
                <w:sz w:val="22"/>
                <w:szCs w:val="22"/>
              </w:rPr>
              <w:t>Тел.:</w:t>
            </w:r>
          </w:p>
          <w:p>
            <w:pPr>
              <w:rPr>
                <w:b/>
                <w:sz w:val="22"/>
                <w:szCs w:val="22"/>
                <w:lang w:eastAsia="zh-CN"/>
              </w:rPr>
            </w:pPr>
            <w:r>
              <w:rPr>
                <w:b/>
                <w:sz w:val="22"/>
                <w:szCs w:val="22"/>
                <w:lang w:val="en-AU" w:eastAsia="zh-CN"/>
              </w:rPr>
              <w:t>Email</w:t>
            </w:r>
            <w:r>
              <w:rPr>
                <w:b/>
                <w:sz w:val="22"/>
                <w:szCs w:val="22"/>
                <w:lang w:eastAsia="zh-CN"/>
              </w:rPr>
              <w:t>:</w:t>
            </w:r>
          </w:p>
          <w:p>
            <w:pPr>
              <w:rPr>
                <w:b/>
                <w:sz w:val="22"/>
                <w:szCs w:val="22"/>
              </w:rPr>
            </w:pPr>
            <w:r>
              <w:rPr>
                <w:b/>
                <w:sz w:val="22"/>
                <w:szCs w:val="22"/>
              </w:rPr>
              <w:t>Почтовый адрес:</w:t>
            </w:r>
          </w:p>
          <w:p>
            <w:pPr>
              <w:rPr>
                <w:b/>
                <w:sz w:val="22"/>
                <w:szCs w:val="22"/>
              </w:rPr>
            </w:pPr>
            <w:r>
              <w:rPr>
                <w:b/>
                <w:sz w:val="22"/>
                <w:szCs w:val="22"/>
              </w:rPr>
              <w:t>Тел.:</w:t>
            </w:r>
          </w:p>
          <w:p>
            <w:pPr>
              <w:rPr>
                <w:b/>
                <w:sz w:val="22"/>
                <w:szCs w:val="22"/>
                <w:lang w:eastAsia="zh-CN"/>
              </w:rPr>
            </w:pPr>
            <w:r>
              <w:rPr>
                <w:b/>
                <w:sz w:val="22"/>
                <w:szCs w:val="22"/>
                <w:lang w:val="en-AU" w:eastAsia="zh-CN"/>
              </w:rPr>
              <w:t>Email</w:t>
            </w:r>
            <w:r>
              <w:rPr>
                <w:b/>
                <w:sz w:val="22"/>
                <w:szCs w:val="22"/>
                <w:lang w:eastAsia="zh-CN"/>
              </w:rPr>
              <w:t>:</w:t>
            </w:r>
          </w:p>
          <w:p>
            <w:pPr>
              <w:rPr>
                <w:b/>
                <w:sz w:val="22"/>
                <w:szCs w:val="22"/>
              </w:rPr>
            </w:pPr>
          </w:p>
        </w:tc>
        <w:tc>
          <w:tcPr>
            <w:tcW w:w="5033" w:type="dxa"/>
          </w:tcPr>
          <w:p>
            <w:pPr>
              <w:rPr>
                <w:b/>
                <w:sz w:val="22"/>
                <w:szCs w:val="22"/>
                <w:lang w:val="en-AU"/>
              </w:rPr>
            </w:pPr>
            <w:r>
              <w:rPr>
                <w:b/>
                <w:sz w:val="22"/>
                <w:szCs w:val="22"/>
                <w:lang w:val="en-US"/>
              </w:rPr>
              <w:t>SUPPLIER</w:t>
            </w:r>
            <w:r>
              <w:rPr>
                <w:b/>
                <w:sz w:val="22"/>
                <w:szCs w:val="22"/>
                <w:lang w:val="en-AU"/>
              </w:rPr>
              <w:t>:</w:t>
            </w:r>
          </w:p>
          <w:p>
            <w:pPr>
              <w:rPr>
                <w:b/>
                <w:sz w:val="22"/>
                <w:szCs w:val="22"/>
                <w:lang w:val="en-AU" w:eastAsia="zh-CN"/>
              </w:rPr>
            </w:pPr>
            <w:r>
              <w:rPr>
                <w:b/>
                <w:sz w:val="22"/>
                <w:szCs w:val="22"/>
                <w:lang w:val="en-AU" w:eastAsia="zh-CN"/>
              </w:rPr>
              <w:t>ABN:</w:t>
            </w:r>
          </w:p>
          <w:p>
            <w:pPr>
              <w:rPr>
                <w:b/>
                <w:sz w:val="22"/>
                <w:szCs w:val="22"/>
                <w:lang w:val="en-AU" w:eastAsia="zh-CN"/>
              </w:rPr>
            </w:pPr>
            <w:r>
              <w:rPr>
                <w:b/>
                <w:sz w:val="22"/>
                <w:szCs w:val="22"/>
                <w:lang w:val="en-AU" w:eastAsia="zh-CN"/>
              </w:rPr>
              <w:t>Legal address:</w:t>
            </w:r>
          </w:p>
          <w:p>
            <w:pPr>
              <w:rPr>
                <w:b/>
                <w:sz w:val="22"/>
                <w:szCs w:val="22"/>
                <w:lang w:val="en-AU" w:eastAsia="zh-CN"/>
              </w:rPr>
            </w:pPr>
            <w:r>
              <w:rPr>
                <w:b/>
                <w:sz w:val="22"/>
                <w:szCs w:val="22"/>
                <w:lang w:val="en-AU" w:eastAsia="zh-CN"/>
              </w:rPr>
              <w:t>Phone:</w:t>
            </w:r>
          </w:p>
          <w:p>
            <w:pPr>
              <w:rPr>
                <w:b/>
                <w:sz w:val="22"/>
                <w:szCs w:val="22"/>
                <w:lang w:val="en-AU" w:eastAsia="zh-CN"/>
              </w:rPr>
            </w:pPr>
            <w:r>
              <w:rPr>
                <w:b/>
                <w:sz w:val="22"/>
                <w:szCs w:val="22"/>
                <w:lang w:val="en-AU" w:eastAsia="zh-CN"/>
              </w:rPr>
              <w:t>Email:</w:t>
            </w:r>
          </w:p>
          <w:p>
            <w:pPr>
              <w:rPr>
                <w:b/>
                <w:sz w:val="22"/>
                <w:szCs w:val="22"/>
                <w:lang w:val="en-AU" w:eastAsia="zh-CN"/>
              </w:rPr>
            </w:pPr>
            <w:r>
              <w:rPr>
                <w:b/>
                <w:sz w:val="22"/>
                <w:szCs w:val="22"/>
                <w:lang w:val="en-AU" w:eastAsia="zh-CN"/>
              </w:rPr>
              <w:t>Postal address:</w:t>
            </w:r>
          </w:p>
          <w:p>
            <w:pPr>
              <w:rPr>
                <w:b/>
                <w:sz w:val="22"/>
                <w:szCs w:val="22"/>
                <w:lang w:val="en-AU" w:eastAsia="zh-CN"/>
              </w:rPr>
            </w:pPr>
            <w:r>
              <w:rPr>
                <w:b/>
                <w:sz w:val="22"/>
                <w:szCs w:val="22"/>
                <w:lang w:val="en-AU" w:eastAsia="zh-CN"/>
              </w:rPr>
              <w:t>Phone:</w:t>
            </w:r>
          </w:p>
          <w:p>
            <w:pPr>
              <w:rPr>
                <w:b/>
                <w:sz w:val="22"/>
                <w:szCs w:val="22"/>
                <w:lang w:val="en-AU" w:eastAsia="zh-CN"/>
              </w:rPr>
            </w:pPr>
            <w:r>
              <w:rPr>
                <w:b/>
                <w:sz w:val="22"/>
                <w:szCs w:val="22"/>
                <w:lang w:val="en-AU" w:eastAsia="zh-CN"/>
              </w:rPr>
              <w:t>Email:</w:t>
            </w:r>
          </w:p>
          <w:p>
            <w:pPr>
              <w:rPr>
                <w:b/>
                <w:sz w:val="22"/>
                <w:szCs w:val="22"/>
                <w:lang w:val="en-AU" w:eastAsia="zh-CN"/>
              </w:rPr>
            </w:pPr>
          </w:p>
        </w:tc>
      </w:tr>
      <w:tr>
        <w:tblPrEx>
          <w:tblLayout w:type="fixed"/>
          <w:tblCellMar>
            <w:top w:w="0" w:type="dxa"/>
            <w:left w:w="108" w:type="dxa"/>
            <w:bottom w:w="0" w:type="dxa"/>
            <w:right w:w="108" w:type="dxa"/>
          </w:tblCellMar>
        </w:tblPrEx>
        <w:tc>
          <w:tcPr>
            <w:tcW w:w="5032" w:type="dxa"/>
          </w:tcPr>
          <w:p>
            <w:pPr>
              <w:rPr>
                <w:b/>
                <w:sz w:val="22"/>
                <w:szCs w:val="22"/>
              </w:rPr>
            </w:pPr>
            <w:r>
              <w:rPr>
                <w:b/>
                <w:sz w:val="22"/>
                <w:szCs w:val="22"/>
              </w:rPr>
              <w:t>Реквизиты банка:</w:t>
            </w:r>
          </w:p>
          <w:p>
            <w:pPr>
              <w:rPr>
                <w:b/>
                <w:sz w:val="22"/>
                <w:szCs w:val="22"/>
              </w:rPr>
            </w:pPr>
            <w:r>
              <w:rPr>
                <w:b/>
                <w:sz w:val="22"/>
                <w:szCs w:val="22"/>
              </w:rPr>
              <w:t>Адрес банка</w:t>
            </w:r>
          </w:p>
          <w:p>
            <w:pPr>
              <w:rPr>
                <w:b/>
                <w:sz w:val="22"/>
                <w:szCs w:val="22"/>
              </w:rPr>
            </w:pPr>
            <w:r>
              <w:rPr>
                <w:b/>
                <w:sz w:val="22"/>
                <w:szCs w:val="22"/>
                <w:lang w:val="en-AU"/>
              </w:rPr>
              <w:t>SWIFT</w:t>
            </w:r>
            <w:r>
              <w:rPr>
                <w:b/>
                <w:sz w:val="22"/>
                <w:szCs w:val="22"/>
              </w:rPr>
              <w:t>:</w:t>
            </w:r>
          </w:p>
          <w:p>
            <w:pPr>
              <w:rPr>
                <w:b/>
                <w:sz w:val="22"/>
                <w:szCs w:val="22"/>
              </w:rPr>
            </w:pPr>
            <w:r>
              <w:rPr>
                <w:b/>
                <w:sz w:val="22"/>
                <w:szCs w:val="22"/>
              </w:rPr>
              <w:t>БИК:</w:t>
            </w:r>
          </w:p>
          <w:p>
            <w:pPr>
              <w:rPr>
                <w:b/>
                <w:sz w:val="22"/>
                <w:szCs w:val="22"/>
                <w:lang w:val="en-AU" w:eastAsia="zh-CN"/>
              </w:rPr>
            </w:pPr>
            <w:r>
              <w:rPr>
                <w:b/>
                <w:sz w:val="22"/>
                <w:szCs w:val="22"/>
              </w:rPr>
              <w:t>Р</w:t>
            </w:r>
            <w:r>
              <w:rPr>
                <w:b/>
                <w:sz w:val="22"/>
                <w:szCs w:val="22"/>
                <w:lang w:val="en-AU" w:eastAsia="zh-CN"/>
              </w:rPr>
              <w:t>/</w:t>
            </w:r>
            <w:r>
              <w:rPr>
                <w:b/>
                <w:sz w:val="22"/>
                <w:szCs w:val="22"/>
                <w:lang w:eastAsia="zh-CN"/>
              </w:rPr>
              <w:t>Счет</w:t>
            </w:r>
            <w:r>
              <w:rPr>
                <w:b/>
                <w:sz w:val="22"/>
                <w:szCs w:val="22"/>
                <w:lang w:val="en-AU" w:eastAsia="zh-CN"/>
              </w:rPr>
              <w:t>:</w:t>
            </w:r>
          </w:p>
          <w:p>
            <w:pPr>
              <w:spacing w:after="200"/>
              <w:contextualSpacing/>
              <w:rPr>
                <w:sz w:val="22"/>
                <w:szCs w:val="22"/>
                <w:lang w:val="es-ES"/>
              </w:rPr>
            </w:pPr>
          </w:p>
        </w:tc>
        <w:tc>
          <w:tcPr>
            <w:tcW w:w="5033" w:type="dxa"/>
          </w:tcPr>
          <w:p>
            <w:pPr>
              <w:spacing w:after="200"/>
              <w:contextualSpacing/>
              <w:rPr>
                <w:b/>
                <w:sz w:val="22"/>
                <w:szCs w:val="22"/>
                <w:lang w:val="en-US"/>
              </w:rPr>
            </w:pPr>
            <w:r>
              <w:rPr>
                <w:b/>
                <w:sz w:val="22"/>
                <w:szCs w:val="22"/>
                <w:lang w:val="en-US"/>
              </w:rPr>
              <w:t>Bank details:</w:t>
            </w:r>
          </w:p>
          <w:p>
            <w:pPr>
              <w:rPr>
                <w:b/>
                <w:kern w:val="20"/>
                <w:sz w:val="22"/>
                <w:szCs w:val="22"/>
                <w:lang w:val="en-US"/>
              </w:rPr>
            </w:pPr>
            <w:r>
              <w:rPr>
                <w:b/>
                <w:kern w:val="20"/>
                <w:sz w:val="22"/>
                <w:szCs w:val="22"/>
                <w:lang w:val="en-US"/>
              </w:rPr>
              <w:t xml:space="preserve">Bank address: </w:t>
            </w:r>
          </w:p>
          <w:p>
            <w:pPr>
              <w:spacing w:after="200"/>
              <w:contextualSpacing/>
              <w:rPr>
                <w:b/>
                <w:kern w:val="20"/>
                <w:sz w:val="22"/>
                <w:szCs w:val="22"/>
                <w:lang w:val="en-US"/>
              </w:rPr>
            </w:pPr>
            <w:r>
              <w:rPr>
                <w:b/>
                <w:kern w:val="20"/>
                <w:sz w:val="22"/>
                <w:szCs w:val="22"/>
                <w:lang w:val="en-US"/>
              </w:rPr>
              <w:t xml:space="preserve">SWIFT: </w:t>
            </w:r>
          </w:p>
          <w:p>
            <w:pPr>
              <w:spacing w:after="200"/>
              <w:contextualSpacing/>
              <w:rPr>
                <w:b/>
                <w:kern w:val="20"/>
                <w:sz w:val="22"/>
                <w:szCs w:val="22"/>
              </w:rPr>
            </w:pPr>
            <w:r>
              <w:rPr>
                <w:b/>
                <w:kern w:val="20"/>
                <w:sz w:val="22"/>
                <w:szCs w:val="22"/>
                <w:lang w:val="en-US"/>
              </w:rPr>
              <w:t>BSB</w:t>
            </w:r>
            <w:r>
              <w:rPr>
                <w:b/>
                <w:kern w:val="20"/>
                <w:sz w:val="22"/>
                <w:szCs w:val="22"/>
              </w:rPr>
              <w:t>:</w:t>
            </w:r>
          </w:p>
          <w:p>
            <w:pPr>
              <w:spacing w:after="200"/>
              <w:contextualSpacing/>
              <w:rPr>
                <w:b/>
                <w:kern w:val="20"/>
                <w:sz w:val="22"/>
                <w:szCs w:val="22"/>
                <w:lang w:val="en-AU"/>
              </w:rPr>
            </w:pPr>
            <w:r>
              <w:rPr>
                <w:b/>
                <w:kern w:val="20"/>
                <w:sz w:val="22"/>
                <w:szCs w:val="22"/>
                <w:lang w:val="en-AU"/>
              </w:rPr>
              <w:t>Account number:</w:t>
            </w:r>
          </w:p>
          <w:p>
            <w:pPr>
              <w:spacing w:after="200"/>
              <w:contextualSpacing/>
              <w:rPr>
                <w:sz w:val="22"/>
                <w:szCs w:val="22"/>
                <w:lang w:val="en-AU"/>
              </w:rPr>
            </w:pPr>
          </w:p>
        </w:tc>
      </w:tr>
      <w:tr>
        <w:tblPrEx>
          <w:tblLayout w:type="fixed"/>
          <w:tblCellMar>
            <w:top w:w="0" w:type="dxa"/>
            <w:left w:w="108" w:type="dxa"/>
            <w:bottom w:w="0" w:type="dxa"/>
            <w:right w:w="108" w:type="dxa"/>
          </w:tblCellMar>
        </w:tblPrEx>
        <w:tc>
          <w:tcPr>
            <w:tcW w:w="5032" w:type="dxa"/>
          </w:tcPr>
          <w:p>
            <w:pPr>
              <w:rPr>
                <w:b/>
                <w:sz w:val="22"/>
                <w:szCs w:val="22"/>
              </w:rPr>
            </w:pPr>
          </w:p>
        </w:tc>
        <w:tc>
          <w:tcPr>
            <w:tcW w:w="5033" w:type="dxa"/>
          </w:tcPr>
          <w:p>
            <w:pPr>
              <w:spacing w:after="200"/>
              <w:contextualSpacing/>
              <w:rPr>
                <w:b/>
                <w:sz w:val="22"/>
                <w:szCs w:val="22"/>
                <w:lang w:val="en-US"/>
              </w:rPr>
            </w:pPr>
          </w:p>
        </w:tc>
      </w:tr>
      <w:tr>
        <w:tblPrEx>
          <w:tblLayout w:type="fixed"/>
          <w:tblCellMar>
            <w:top w:w="0" w:type="dxa"/>
            <w:left w:w="108" w:type="dxa"/>
            <w:bottom w:w="0" w:type="dxa"/>
            <w:right w:w="108" w:type="dxa"/>
          </w:tblCellMar>
        </w:tblPrEx>
        <w:trPr>
          <w:trHeight w:val="1981" w:hRule="atLeast"/>
        </w:trPr>
        <w:tc>
          <w:tcPr>
            <w:tcW w:w="5032" w:type="dxa"/>
          </w:tcPr>
          <w:p>
            <w:pPr>
              <w:rPr>
                <w:sz w:val="22"/>
                <w:szCs w:val="22"/>
              </w:rPr>
            </w:pPr>
            <w:r>
              <w:rPr>
                <w:sz w:val="22"/>
                <w:szCs w:val="22"/>
              </w:rPr>
              <w:t>ПОСТАВЩИК/</w:t>
            </w:r>
            <w:r>
              <w:rPr>
                <w:sz w:val="22"/>
                <w:szCs w:val="22"/>
                <w:lang w:val="en-US"/>
              </w:rPr>
              <w:t>SUPPLIER</w:t>
            </w:r>
            <w:r>
              <w:rPr>
                <w:sz w:val="22"/>
                <w:szCs w:val="22"/>
              </w:rPr>
              <w:t>:</w:t>
            </w:r>
          </w:p>
          <w:p>
            <w:pPr>
              <w:rPr>
                <w:sz w:val="22"/>
                <w:szCs w:val="22"/>
                <w:shd w:val="clear" w:color="auto" w:fill="FFFF00"/>
              </w:rPr>
            </w:pPr>
          </w:p>
          <w:p>
            <w:pPr>
              <w:rPr>
                <w:sz w:val="22"/>
                <w:szCs w:val="22"/>
                <w:shd w:val="clear" w:color="auto" w:fill="FFFF00"/>
              </w:rPr>
            </w:pPr>
          </w:p>
          <w:p>
            <w:pPr>
              <w:rPr>
                <w:sz w:val="22"/>
                <w:szCs w:val="22"/>
                <w:shd w:val="clear" w:color="auto" w:fill="FFFF00"/>
              </w:rPr>
            </w:pPr>
          </w:p>
          <w:p>
            <w:pPr>
              <w:widowControl w:val="0"/>
              <w:rPr>
                <w:sz w:val="22"/>
                <w:szCs w:val="22"/>
              </w:rPr>
            </w:pPr>
            <w:r>
              <w:rPr>
                <w:sz w:val="22"/>
                <w:szCs w:val="22"/>
              </w:rPr>
              <w:t>Директор/</w:t>
            </w:r>
            <w:r>
              <w:rPr>
                <w:sz w:val="22"/>
                <w:szCs w:val="22"/>
                <w:lang w:val="en-US"/>
              </w:rPr>
              <w:t>Director</w:t>
            </w:r>
          </w:p>
          <w:p>
            <w:pPr>
              <w:widowControl w:val="0"/>
              <w:rPr>
                <w:sz w:val="22"/>
                <w:szCs w:val="22"/>
              </w:rPr>
            </w:pPr>
          </w:p>
          <w:p>
            <w:pPr>
              <w:widowControl w:val="0"/>
              <w:rPr>
                <w:sz w:val="22"/>
                <w:szCs w:val="22"/>
              </w:rPr>
            </w:pPr>
          </w:p>
          <w:p>
            <w:pPr>
              <w:widowControl w:val="0"/>
              <w:rPr>
                <w:sz w:val="22"/>
                <w:szCs w:val="22"/>
              </w:rPr>
            </w:pPr>
          </w:p>
          <w:p>
            <w:pPr>
              <w:widowControl w:val="0"/>
              <w:rPr>
                <w:sz w:val="22"/>
                <w:szCs w:val="22"/>
              </w:rPr>
            </w:pPr>
          </w:p>
          <w:p>
            <w:pPr>
              <w:widowControl w:val="0"/>
              <w:rPr>
                <w:sz w:val="22"/>
                <w:szCs w:val="22"/>
              </w:rPr>
            </w:pPr>
          </w:p>
          <w:p>
            <w:pPr>
              <w:widowControl w:val="0"/>
              <w:rPr>
                <w:sz w:val="22"/>
                <w:szCs w:val="22"/>
              </w:rPr>
            </w:pPr>
            <w:r>
              <w:rPr>
                <w:sz w:val="22"/>
                <w:szCs w:val="22"/>
              </w:rPr>
              <w:t>______________________       _____/_____/_______</w:t>
            </w:r>
          </w:p>
          <w:p>
            <w:pPr>
              <w:widowControl w:val="0"/>
              <w:rPr>
                <w:sz w:val="22"/>
                <w:szCs w:val="22"/>
              </w:rPr>
            </w:pPr>
          </w:p>
          <w:p>
            <w:pPr>
              <w:widowControl w:val="0"/>
              <w:rPr>
                <w:sz w:val="22"/>
                <w:szCs w:val="22"/>
                <w:lang w:eastAsia="zh-CN"/>
              </w:rPr>
            </w:pPr>
            <w:r>
              <w:rPr>
                <w:sz w:val="22"/>
                <w:szCs w:val="22"/>
              </w:rPr>
              <w:t xml:space="preserve">  Подпись</w:t>
            </w:r>
            <w:r>
              <w:rPr>
                <w:sz w:val="22"/>
                <w:szCs w:val="22"/>
                <w:lang w:eastAsia="zh-CN"/>
              </w:rPr>
              <w:t>/</w:t>
            </w:r>
            <w:r>
              <w:rPr>
                <w:sz w:val="22"/>
                <w:szCs w:val="22"/>
                <w:lang w:val="en-AU" w:eastAsia="zh-CN"/>
              </w:rPr>
              <w:t>Signature</w:t>
            </w:r>
            <w:r>
              <w:rPr>
                <w:sz w:val="22"/>
                <w:szCs w:val="22"/>
                <w:lang w:eastAsia="zh-CN"/>
              </w:rPr>
              <w:t xml:space="preserve">                            Дата/</w:t>
            </w:r>
            <w:r>
              <w:rPr>
                <w:sz w:val="22"/>
                <w:szCs w:val="22"/>
                <w:lang w:val="en-AU" w:eastAsia="zh-CN"/>
              </w:rPr>
              <w:t>Date</w:t>
            </w:r>
          </w:p>
          <w:p>
            <w:pPr>
              <w:widowControl w:val="0"/>
              <w:rPr>
                <w:sz w:val="22"/>
                <w:szCs w:val="22"/>
              </w:rPr>
            </w:pPr>
          </w:p>
          <w:p>
            <w:pPr>
              <w:widowControl w:val="0"/>
              <w:rPr>
                <w:sz w:val="22"/>
                <w:szCs w:val="22"/>
              </w:rPr>
            </w:pPr>
          </w:p>
          <w:p>
            <w:pPr>
              <w:widowControl w:val="0"/>
              <w:rPr>
                <w:sz w:val="22"/>
                <w:szCs w:val="22"/>
              </w:rPr>
            </w:pPr>
          </w:p>
          <w:p>
            <w:pPr>
              <w:widowControl w:val="0"/>
              <w:rPr>
                <w:sz w:val="22"/>
                <w:szCs w:val="22"/>
              </w:rPr>
            </w:pPr>
          </w:p>
          <w:p>
            <w:pPr>
              <w:widowControl w:val="0"/>
              <w:rPr>
                <w:sz w:val="22"/>
                <w:szCs w:val="22"/>
              </w:rPr>
            </w:pPr>
          </w:p>
          <w:p>
            <w:pPr>
              <w:rPr>
                <w:sz w:val="22"/>
                <w:szCs w:val="22"/>
              </w:rPr>
            </w:pPr>
          </w:p>
        </w:tc>
        <w:tc>
          <w:tcPr>
            <w:tcW w:w="5033" w:type="dxa"/>
          </w:tcPr>
          <w:p>
            <w:pPr>
              <w:rPr>
                <w:sz w:val="22"/>
                <w:szCs w:val="22"/>
              </w:rPr>
            </w:pPr>
            <w:r>
              <w:rPr>
                <w:sz w:val="22"/>
                <w:szCs w:val="22"/>
              </w:rPr>
              <w:t>ПРИЕМЩИК/</w:t>
            </w:r>
            <w:r>
              <w:rPr>
                <w:sz w:val="22"/>
                <w:szCs w:val="22"/>
                <w:lang w:val="en-US"/>
              </w:rPr>
              <w:t>RECIEVER</w:t>
            </w:r>
            <w:r>
              <w:rPr>
                <w:sz w:val="22"/>
                <w:szCs w:val="22"/>
              </w:rPr>
              <w:t>:</w:t>
            </w:r>
          </w:p>
          <w:p>
            <w:pPr>
              <w:rPr>
                <w:sz w:val="22"/>
                <w:szCs w:val="22"/>
              </w:rPr>
            </w:pPr>
          </w:p>
          <w:p>
            <w:pPr>
              <w:widowControl w:val="0"/>
              <w:rPr>
                <w:sz w:val="22"/>
                <w:szCs w:val="22"/>
              </w:rPr>
            </w:pPr>
          </w:p>
          <w:p>
            <w:pPr>
              <w:widowControl w:val="0"/>
              <w:rPr>
                <w:sz w:val="22"/>
                <w:szCs w:val="22"/>
              </w:rPr>
            </w:pPr>
          </w:p>
          <w:p>
            <w:pPr>
              <w:widowControl w:val="0"/>
              <w:rPr>
                <w:sz w:val="22"/>
                <w:szCs w:val="22"/>
              </w:rPr>
            </w:pPr>
            <w:r>
              <w:rPr>
                <w:sz w:val="22"/>
                <w:szCs w:val="22"/>
              </w:rPr>
              <w:t>Директор/</w:t>
            </w:r>
            <w:r>
              <w:rPr>
                <w:sz w:val="22"/>
                <w:szCs w:val="22"/>
                <w:lang w:val="en-US"/>
              </w:rPr>
              <w:t>Director</w:t>
            </w:r>
          </w:p>
          <w:p>
            <w:pPr>
              <w:widowControl w:val="0"/>
              <w:rPr>
                <w:sz w:val="22"/>
                <w:szCs w:val="22"/>
              </w:rPr>
            </w:pPr>
          </w:p>
          <w:p>
            <w:pPr>
              <w:widowControl w:val="0"/>
              <w:rPr>
                <w:sz w:val="22"/>
                <w:szCs w:val="22"/>
              </w:rPr>
            </w:pPr>
          </w:p>
          <w:p>
            <w:pPr>
              <w:widowControl w:val="0"/>
              <w:rPr>
                <w:sz w:val="22"/>
                <w:szCs w:val="22"/>
              </w:rPr>
            </w:pPr>
          </w:p>
          <w:p>
            <w:pPr>
              <w:widowControl w:val="0"/>
              <w:rPr>
                <w:sz w:val="22"/>
                <w:szCs w:val="22"/>
              </w:rPr>
            </w:pPr>
          </w:p>
          <w:p>
            <w:pPr>
              <w:widowControl w:val="0"/>
              <w:rPr>
                <w:sz w:val="22"/>
                <w:szCs w:val="22"/>
              </w:rPr>
            </w:pPr>
          </w:p>
          <w:p>
            <w:pPr>
              <w:widowControl w:val="0"/>
              <w:rPr>
                <w:sz w:val="22"/>
                <w:szCs w:val="22"/>
              </w:rPr>
            </w:pPr>
            <w:r>
              <w:rPr>
                <w:sz w:val="22"/>
                <w:szCs w:val="22"/>
              </w:rPr>
              <w:t>______________________       _____/_____/_______</w:t>
            </w:r>
          </w:p>
          <w:p>
            <w:pPr>
              <w:widowControl w:val="0"/>
              <w:rPr>
                <w:sz w:val="22"/>
                <w:szCs w:val="22"/>
              </w:rPr>
            </w:pPr>
          </w:p>
          <w:p>
            <w:pPr>
              <w:widowControl w:val="0"/>
              <w:rPr>
                <w:sz w:val="22"/>
                <w:szCs w:val="22"/>
                <w:lang w:eastAsia="zh-CN"/>
              </w:rPr>
            </w:pPr>
            <w:r>
              <w:rPr>
                <w:sz w:val="22"/>
                <w:szCs w:val="22"/>
              </w:rPr>
              <w:t xml:space="preserve">  Подпись</w:t>
            </w:r>
            <w:r>
              <w:rPr>
                <w:sz w:val="22"/>
                <w:szCs w:val="22"/>
                <w:lang w:eastAsia="zh-CN"/>
              </w:rPr>
              <w:t>/</w:t>
            </w:r>
            <w:r>
              <w:rPr>
                <w:sz w:val="22"/>
                <w:szCs w:val="22"/>
                <w:lang w:val="en-AU" w:eastAsia="zh-CN"/>
              </w:rPr>
              <w:t>Signature</w:t>
            </w:r>
            <w:r>
              <w:rPr>
                <w:sz w:val="22"/>
                <w:szCs w:val="22"/>
                <w:lang w:eastAsia="zh-CN"/>
              </w:rPr>
              <w:t xml:space="preserve">                            Дата/</w:t>
            </w:r>
            <w:r>
              <w:rPr>
                <w:sz w:val="22"/>
                <w:szCs w:val="22"/>
                <w:lang w:val="en-AU" w:eastAsia="zh-CN"/>
              </w:rPr>
              <w:t>Date</w:t>
            </w:r>
          </w:p>
          <w:p>
            <w:pPr>
              <w:widowControl w:val="0"/>
              <w:rPr>
                <w:sz w:val="22"/>
                <w:szCs w:val="22"/>
              </w:rPr>
            </w:pPr>
          </w:p>
          <w:p>
            <w:pPr>
              <w:widowControl w:val="0"/>
              <w:rPr>
                <w:sz w:val="22"/>
                <w:szCs w:val="22"/>
              </w:rPr>
            </w:pPr>
          </w:p>
        </w:tc>
      </w:tr>
    </w:tbl>
    <w:p>
      <w:pPr>
        <w:tabs>
          <w:tab w:val="left" w:pos="1620"/>
        </w:tabs>
        <w:rPr>
          <w:sz w:val="22"/>
          <w:szCs w:val="22"/>
        </w:rPr>
      </w:pPr>
    </w:p>
    <w:sectPr>
      <w:footerReference r:id="rId3" w:type="default"/>
      <w:pgSz w:w="11906" w:h="16838"/>
      <w:pgMar w:top="851" w:right="737" w:bottom="851" w:left="1134"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Calibri">
    <w:panose1 w:val="020F0502020204030204"/>
    <w:charset w:val="CC"/>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Times">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eastAsia="ru-RU"/>
      </w:rPr>
      <w:t>2</w:t>
    </w:r>
    <w:r>
      <w:rPr>
        <w:lang w:eastAsia="ru-RU"/>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2"/>
      <w:lvlText w:val=""/>
      <w:lvlJc w:val="left"/>
      <w:pPr>
        <w:tabs>
          <w:tab w:val="left" w:pos="432"/>
        </w:tabs>
        <w:ind w:left="432" w:hanging="432"/>
      </w:pPr>
      <w:rPr>
        <w:rFonts w:cs="Times New Roman"/>
      </w:rPr>
    </w:lvl>
    <w:lvl w:ilvl="1" w:tentative="0">
      <w:start w:val="1"/>
      <w:numFmt w:val="none"/>
      <w:pStyle w:val="4"/>
      <w:lvlText w:val=""/>
      <w:lvlJc w:val="left"/>
      <w:pPr>
        <w:tabs>
          <w:tab w:val="left" w:pos="576"/>
        </w:tabs>
        <w:ind w:left="576" w:hanging="576"/>
      </w:pPr>
      <w:rPr>
        <w:rFonts w:cs="Times New Roman"/>
      </w:rPr>
    </w:lvl>
    <w:lvl w:ilvl="2" w:tentative="0">
      <w:start w:val="1"/>
      <w:numFmt w:val="none"/>
      <w:lvlText w:val=""/>
      <w:lvlJc w:val="left"/>
      <w:pPr>
        <w:tabs>
          <w:tab w:val="left" w:pos="720"/>
        </w:tabs>
        <w:ind w:left="720" w:hanging="720"/>
      </w:pPr>
      <w:rPr>
        <w:rFonts w:cs="Times New Roman"/>
      </w:rPr>
    </w:lvl>
    <w:lvl w:ilvl="3" w:tentative="0">
      <w:start w:val="1"/>
      <w:numFmt w:val="none"/>
      <w:lvlText w:val=""/>
      <w:lvlJc w:val="left"/>
      <w:pPr>
        <w:tabs>
          <w:tab w:val="left" w:pos="864"/>
        </w:tabs>
        <w:ind w:left="864" w:hanging="864"/>
      </w:pPr>
      <w:rPr>
        <w:rFonts w:cs="Times New Roman"/>
      </w:rPr>
    </w:lvl>
    <w:lvl w:ilvl="4" w:tentative="0">
      <w:start w:val="1"/>
      <w:numFmt w:val="none"/>
      <w:lvlText w:val=""/>
      <w:lvlJc w:val="left"/>
      <w:pPr>
        <w:tabs>
          <w:tab w:val="left" w:pos="1008"/>
        </w:tabs>
        <w:ind w:left="1008" w:hanging="1008"/>
      </w:pPr>
      <w:rPr>
        <w:rFonts w:cs="Times New Roman"/>
      </w:rPr>
    </w:lvl>
    <w:lvl w:ilvl="5" w:tentative="0">
      <w:start w:val="1"/>
      <w:numFmt w:val="none"/>
      <w:lvlText w:val=""/>
      <w:lvlJc w:val="left"/>
      <w:pPr>
        <w:tabs>
          <w:tab w:val="left" w:pos="1152"/>
        </w:tabs>
        <w:ind w:left="1152" w:hanging="1152"/>
      </w:pPr>
      <w:rPr>
        <w:rFonts w:cs="Times New Roman"/>
      </w:rPr>
    </w:lvl>
    <w:lvl w:ilvl="6" w:tentative="0">
      <w:start w:val="1"/>
      <w:numFmt w:val="none"/>
      <w:lvlText w:val=""/>
      <w:lvlJc w:val="left"/>
      <w:pPr>
        <w:tabs>
          <w:tab w:val="left" w:pos="1296"/>
        </w:tabs>
        <w:ind w:left="1296" w:hanging="1296"/>
      </w:pPr>
      <w:rPr>
        <w:rFonts w:cs="Times New Roman"/>
      </w:rPr>
    </w:lvl>
    <w:lvl w:ilvl="7" w:tentative="0">
      <w:start w:val="1"/>
      <w:numFmt w:val="none"/>
      <w:lvlText w:val=""/>
      <w:lvlJc w:val="left"/>
      <w:pPr>
        <w:tabs>
          <w:tab w:val="left" w:pos="1440"/>
        </w:tabs>
        <w:ind w:left="1440" w:hanging="1440"/>
      </w:pPr>
      <w:rPr>
        <w:rFonts w:cs="Times New Roman"/>
      </w:rPr>
    </w:lvl>
    <w:lvl w:ilvl="8" w:tentative="0">
      <w:start w:val="1"/>
      <w:numFmt w:val="none"/>
      <w:lvlText w:val=""/>
      <w:lvlJc w:val="left"/>
      <w:pPr>
        <w:tabs>
          <w:tab w:val="left" w:pos="1584"/>
        </w:tabs>
        <w:ind w:left="1584" w:hanging="1584"/>
      </w:pPr>
      <w:rPr>
        <w:rFonts w:cs="Times New Roman"/>
      </w:rPr>
    </w:lvl>
  </w:abstractNum>
  <w:abstractNum w:abstractNumId="1">
    <w:nsid w:val="0AE65B35"/>
    <w:multiLevelType w:val="multilevel"/>
    <w:tmpl w:val="0AE65B35"/>
    <w:lvl w:ilvl="0" w:tentative="0">
      <w:start w:val="1"/>
      <w:numFmt w:val="decimal"/>
      <w:lvlText w:val="%1."/>
      <w:lvlJc w:val="left"/>
      <w:pPr>
        <w:ind w:left="720" w:hanging="360"/>
      </w:pPr>
      <w:rPr>
        <w:rFonts w:hint="default" w:cs="Times New Roman"/>
      </w:rPr>
    </w:lvl>
    <w:lvl w:ilvl="1" w:tentative="0">
      <w:start w:val="1"/>
      <w:numFmt w:val="decimal"/>
      <w:isLgl/>
      <w:lvlText w:val="%1.%2."/>
      <w:lvlJc w:val="left"/>
      <w:pPr>
        <w:ind w:left="36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doNotValidateAgainstSchema/>
  <w:doNotDemarcateInvalidXml/>
  <w:compat>
    <w:spaceForUL/>
    <w:doNotLeaveBackslashAlon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012"/>
    <w:rsid w:val="00013669"/>
    <w:rsid w:val="0001509A"/>
    <w:rsid w:val="00020FEA"/>
    <w:rsid w:val="00040D7A"/>
    <w:rsid w:val="00043B52"/>
    <w:rsid w:val="00044716"/>
    <w:rsid w:val="000507FE"/>
    <w:rsid w:val="0005144A"/>
    <w:rsid w:val="000624BA"/>
    <w:rsid w:val="000630B2"/>
    <w:rsid w:val="00070801"/>
    <w:rsid w:val="00071B26"/>
    <w:rsid w:val="00081C53"/>
    <w:rsid w:val="000846AA"/>
    <w:rsid w:val="000906D9"/>
    <w:rsid w:val="000A0012"/>
    <w:rsid w:val="000A397D"/>
    <w:rsid w:val="000B415C"/>
    <w:rsid w:val="000C4C1E"/>
    <w:rsid w:val="000D04BA"/>
    <w:rsid w:val="000E36BF"/>
    <w:rsid w:val="000F2E7D"/>
    <w:rsid w:val="000F32C4"/>
    <w:rsid w:val="000F3DFC"/>
    <w:rsid w:val="000F5F30"/>
    <w:rsid w:val="001042FF"/>
    <w:rsid w:val="00105CDC"/>
    <w:rsid w:val="00106872"/>
    <w:rsid w:val="00111C0A"/>
    <w:rsid w:val="001130B8"/>
    <w:rsid w:val="00114724"/>
    <w:rsid w:val="00114B43"/>
    <w:rsid w:val="0012254A"/>
    <w:rsid w:val="00126A26"/>
    <w:rsid w:val="00132FED"/>
    <w:rsid w:val="001417CD"/>
    <w:rsid w:val="001536C4"/>
    <w:rsid w:val="001568A4"/>
    <w:rsid w:val="0016171D"/>
    <w:rsid w:val="00161A26"/>
    <w:rsid w:val="001642DD"/>
    <w:rsid w:val="00180ED3"/>
    <w:rsid w:val="00182955"/>
    <w:rsid w:val="001907F6"/>
    <w:rsid w:val="00191B82"/>
    <w:rsid w:val="001B11C2"/>
    <w:rsid w:val="001B77C2"/>
    <w:rsid w:val="001C18F9"/>
    <w:rsid w:val="001C35FA"/>
    <w:rsid w:val="001C6776"/>
    <w:rsid w:val="001C7332"/>
    <w:rsid w:val="001D4231"/>
    <w:rsid w:val="001D6BF4"/>
    <w:rsid w:val="001E3B74"/>
    <w:rsid w:val="001E791A"/>
    <w:rsid w:val="001F6691"/>
    <w:rsid w:val="00202D9A"/>
    <w:rsid w:val="00204B5D"/>
    <w:rsid w:val="00216D9A"/>
    <w:rsid w:val="00221B6B"/>
    <w:rsid w:val="002232DE"/>
    <w:rsid w:val="00225688"/>
    <w:rsid w:val="00231DC5"/>
    <w:rsid w:val="00240811"/>
    <w:rsid w:val="00250026"/>
    <w:rsid w:val="00253F5F"/>
    <w:rsid w:val="00272F3C"/>
    <w:rsid w:val="00292E10"/>
    <w:rsid w:val="00293A0B"/>
    <w:rsid w:val="0029444B"/>
    <w:rsid w:val="00296725"/>
    <w:rsid w:val="002B19FE"/>
    <w:rsid w:val="002B1AA0"/>
    <w:rsid w:val="002B1B93"/>
    <w:rsid w:val="002B4410"/>
    <w:rsid w:val="002C275B"/>
    <w:rsid w:val="002C416A"/>
    <w:rsid w:val="002C7707"/>
    <w:rsid w:val="002E5D63"/>
    <w:rsid w:val="002F28D9"/>
    <w:rsid w:val="00312F38"/>
    <w:rsid w:val="00321203"/>
    <w:rsid w:val="00330708"/>
    <w:rsid w:val="00343062"/>
    <w:rsid w:val="00361C3B"/>
    <w:rsid w:val="003644AB"/>
    <w:rsid w:val="003746F5"/>
    <w:rsid w:val="00374C94"/>
    <w:rsid w:val="003763BF"/>
    <w:rsid w:val="00377B17"/>
    <w:rsid w:val="00380008"/>
    <w:rsid w:val="0039254F"/>
    <w:rsid w:val="00392AA5"/>
    <w:rsid w:val="003D5149"/>
    <w:rsid w:val="003E79F9"/>
    <w:rsid w:val="003F0FF5"/>
    <w:rsid w:val="003F2E88"/>
    <w:rsid w:val="003F54C9"/>
    <w:rsid w:val="003F78BE"/>
    <w:rsid w:val="003F7DD1"/>
    <w:rsid w:val="00405A61"/>
    <w:rsid w:val="00405BF8"/>
    <w:rsid w:val="004137CB"/>
    <w:rsid w:val="00422C5F"/>
    <w:rsid w:val="00431AAA"/>
    <w:rsid w:val="004321C2"/>
    <w:rsid w:val="00432663"/>
    <w:rsid w:val="00434CC6"/>
    <w:rsid w:val="00435653"/>
    <w:rsid w:val="004468FD"/>
    <w:rsid w:val="0044711B"/>
    <w:rsid w:val="00453A40"/>
    <w:rsid w:val="00463C11"/>
    <w:rsid w:val="00482B8A"/>
    <w:rsid w:val="004859EE"/>
    <w:rsid w:val="004A4C72"/>
    <w:rsid w:val="004A7876"/>
    <w:rsid w:val="004B2376"/>
    <w:rsid w:val="004C739B"/>
    <w:rsid w:val="004F6AFD"/>
    <w:rsid w:val="00503089"/>
    <w:rsid w:val="00505F19"/>
    <w:rsid w:val="00514A4B"/>
    <w:rsid w:val="00533D7D"/>
    <w:rsid w:val="00535AB0"/>
    <w:rsid w:val="00546A56"/>
    <w:rsid w:val="00551DC5"/>
    <w:rsid w:val="005520DE"/>
    <w:rsid w:val="005533A5"/>
    <w:rsid w:val="00555226"/>
    <w:rsid w:val="0055559B"/>
    <w:rsid w:val="005562A0"/>
    <w:rsid w:val="00580421"/>
    <w:rsid w:val="00581052"/>
    <w:rsid w:val="00582DD0"/>
    <w:rsid w:val="0059168C"/>
    <w:rsid w:val="00596A11"/>
    <w:rsid w:val="005A39F2"/>
    <w:rsid w:val="005B3144"/>
    <w:rsid w:val="005B482D"/>
    <w:rsid w:val="005B4BC8"/>
    <w:rsid w:val="005B4CF2"/>
    <w:rsid w:val="005C54EC"/>
    <w:rsid w:val="005C5F0C"/>
    <w:rsid w:val="005D0FFB"/>
    <w:rsid w:val="005D74A6"/>
    <w:rsid w:val="005E0EE2"/>
    <w:rsid w:val="005E28C1"/>
    <w:rsid w:val="005F132F"/>
    <w:rsid w:val="005F2D8D"/>
    <w:rsid w:val="005F7583"/>
    <w:rsid w:val="00622172"/>
    <w:rsid w:val="00630084"/>
    <w:rsid w:val="00631C91"/>
    <w:rsid w:val="00634FAF"/>
    <w:rsid w:val="0064036E"/>
    <w:rsid w:val="0065401E"/>
    <w:rsid w:val="00655309"/>
    <w:rsid w:val="0066392A"/>
    <w:rsid w:val="00665DC3"/>
    <w:rsid w:val="00681195"/>
    <w:rsid w:val="006852EE"/>
    <w:rsid w:val="0069007E"/>
    <w:rsid w:val="00692A02"/>
    <w:rsid w:val="006A0D3D"/>
    <w:rsid w:val="006A0E3D"/>
    <w:rsid w:val="006A7799"/>
    <w:rsid w:val="006D039A"/>
    <w:rsid w:val="006D0D32"/>
    <w:rsid w:val="006E0F00"/>
    <w:rsid w:val="006F6CE8"/>
    <w:rsid w:val="00734BDD"/>
    <w:rsid w:val="00735B7A"/>
    <w:rsid w:val="00744D1B"/>
    <w:rsid w:val="00756834"/>
    <w:rsid w:val="00780CDD"/>
    <w:rsid w:val="007820B9"/>
    <w:rsid w:val="007848F8"/>
    <w:rsid w:val="00786A35"/>
    <w:rsid w:val="00787A4D"/>
    <w:rsid w:val="00791A97"/>
    <w:rsid w:val="0079408F"/>
    <w:rsid w:val="00795A0B"/>
    <w:rsid w:val="007A25D8"/>
    <w:rsid w:val="007B0BD5"/>
    <w:rsid w:val="007C5203"/>
    <w:rsid w:val="007C54B5"/>
    <w:rsid w:val="007F1426"/>
    <w:rsid w:val="007F5984"/>
    <w:rsid w:val="00803513"/>
    <w:rsid w:val="00806C53"/>
    <w:rsid w:val="00822325"/>
    <w:rsid w:val="0082638D"/>
    <w:rsid w:val="00826433"/>
    <w:rsid w:val="00826CE4"/>
    <w:rsid w:val="00834E44"/>
    <w:rsid w:val="00851B5F"/>
    <w:rsid w:val="00855D73"/>
    <w:rsid w:val="00863825"/>
    <w:rsid w:val="00867A05"/>
    <w:rsid w:val="008A10B2"/>
    <w:rsid w:val="008C0202"/>
    <w:rsid w:val="008C0B04"/>
    <w:rsid w:val="008C30A4"/>
    <w:rsid w:val="008D6213"/>
    <w:rsid w:val="008E5D9A"/>
    <w:rsid w:val="008F678E"/>
    <w:rsid w:val="00902AA0"/>
    <w:rsid w:val="00905CD4"/>
    <w:rsid w:val="00912306"/>
    <w:rsid w:val="00920EC7"/>
    <w:rsid w:val="0092291F"/>
    <w:rsid w:val="0093161D"/>
    <w:rsid w:val="00935613"/>
    <w:rsid w:val="00941B12"/>
    <w:rsid w:val="0094722A"/>
    <w:rsid w:val="00960D29"/>
    <w:rsid w:val="00962540"/>
    <w:rsid w:val="009642AC"/>
    <w:rsid w:val="009901BB"/>
    <w:rsid w:val="0099130B"/>
    <w:rsid w:val="00996779"/>
    <w:rsid w:val="009A19A9"/>
    <w:rsid w:val="009A4C63"/>
    <w:rsid w:val="009A649A"/>
    <w:rsid w:val="009C4FA6"/>
    <w:rsid w:val="009C7B60"/>
    <w:rsid w:val="009D2C14"/>
    <w:rsid w:val="009D3151"/>
    <w:rsid w:val="009E3928"/>
    <w:rsid w:val="009F789E"/>
    <w:rsid w:val="00A03B19"/>
    <w:rsid w:val="00A304EA"/>
    <w:rsid w:val="00A42F16"/>
    <w:rsid w:val="00A44822"/>
    <w:rsid w:val="00A475C6"/>
    <w:rsid w:val="00A51549"/>
    <w:rsid w:val="00A56B3E"/>
    <w:rsid w:val="00A65FD6"/>
    <w:rsid w:val="00A71AF7"/>
    <w:rsid w:val="00A76F43"/>
    <w:rsid w:val="00A8016D"/>
    <w:rsid w:val="00A913A5"/>
    <w:rsid w:val="00AA2605"/>
    <w:rsid w:val="00AA446D"/>
    <w:rsid w:val="00AB5303"/>
    <w:rsid w:val="00AB670D"/>
    <w:rsid w:val="00AC14FA"/>
    <w:rsid w:val="00AD4FC5"/>
    <w:rsid w:val="00AD5310"/>
    <w:rsid w:val="00AD71F9"/>
    <w:rsid w:val="00AD7974"/>
    <w:rsid w:val="00AE0361"/>
    <w:rsid w:val="00AE125F"/>
    <w:rsid w:val="00AE45E8"/>
    <w:rsid w:val="00AF08E6"/>
    <w:rsid w:val="00AF09E3"/>
    <w:rsid w:val="00AF2665"/>
    <w:rsid w:val="00AF63B7"/>
    <w:rsid w:val="00B01A11"/>
    <w:rsid w:val="00B12E7D"/>
    <w:rsid w:val="00B170D7"/>
    <w:rsid w:val="00B367FB"/>
    <w:rsid w:val="00B36B10"/>
    <w:rsid w:val="00B51002"/>
    <w:rsid w:val="00B515A6"/>
    <w:rsid w:val="00B52277"/>
    <w:rsid w:val="00B52C0E"/>
    <w:rsid w:val="00B537E3"/>
    <w:rsid w:val="00B53DD3"/>
    <w:rsid w:val="00B54F03"/>
    <w:rsid w:val="00B63496"/>
    <w:rsid w:val="00B63D62"/>
    <w:rsid w:val="00B7229D"/>
    <w:rsid w:val="00B807C2"/>
    <w:rsid w:val="00B93B7C"/>
    <w:rsid w:val="00BA61CE"/>
    <w:rsid w:val="00BA7A39"/>
    <w:rsid w:val="00BB1DAD"/>
    <w:rsid w:val="00BB6E8D"/>
    <w:rsid w:val="00BC199E"/>
    <w:rsid w:val="00BD2C84"/>
    <w:rsid w:val="00BE2986"/>
    <w:rsid w:val="00BE3DE3"/>
    <w:rsid w:val="00BE4B0A"/>
    <w:rsid w:val="00BE6510"/>
    <w:rsid w:val="00BF36B5"/>
    <w:rsid w:val="00C075AD"/>
    <w:rsid w:val="00C15B9E"/>
    <w:rsid w:val="00C36837"/>
    <w:rsid w:val="00C370A8"/>
    <w:rsid w:val="00C45CC6"/>
    <w:rsid w:val="00C51B37"/>
    <w:rsid w:val="00C57D0A"/>
    <w:rsid w:val="00C65841"/>
    <w:rsid w:val="00C678FD"/>
    <w:rsid w:val="00C67C4B"/>
    <w:rsid w:val="00C7730A"/>
    <w:rsid w:val="00C8121F"/>
    <w:rsid w:val="00C86F16"/>
    <w:rsid w:val="00C939D2"/>
    <w:rsid w:val="00C97130"/>
    <w:rsid w:val="00CA0528"/>
    <w:rsid w:val="00CA5463"/>
    <w:rsid w:val="00CB2FB4"/>
    <w:rsid w:val="00CB5267"/>
    <w:rsid w:val="00CC18EC"/>
    <w:rsid w:val="00CC446B"/>
    <w:rsid w:val="00CD00EE"/>
    <w:rsid w:val="00CD379E"/>
    <w:rsid w:val="00CD5704"/>
    <w:rsid w:val="00CE7233"/>
    <w:rsid w:val="00CF3DA3"/>
    <w:rsid w:val="00D03712"/>
    <w:rsid w:val="00D10DDE"/>
    <w:rsid w:val="00D307F7"/>
    <w:rsid w:val="00D30DFE"/>
    <w:rsid w:val="00D336BB"/>
    <w:rsid w:val="00D35945"/>
    <w:rsid w:val="00D465ED"/>
    <w:rsid w:val="00D47161"/>
    <w:rsid w:val="00D50AB9"/>
    <w:rsid w:val="00D5291A"/>
    <w:rsid w:val="00D54FC4"/>
    <w:rsid w:val="00D55D10"/>
    <w:rsid w:val="00D6093B"/>
    <w:rsid w:val="00D73708"/>
    <w:rsid w:val="00D76DC5"/>
    <w:rsid w:val="00D94199"/>
    <w:rsid w:val="00DB1E7B"/>
    <w:rsid w:val="00DC1841"/>
    <w:rsid w:val="00DC25D1"/>
    <w:rsid w:val="00DC367E"/>
    <w:rsid w:val="00DC74AF"/>
    <w:rsid w:val="00DD45EE"/>
    <w:rsid w:val="00DE1A21"/>
    <w:rsid w:val="00E00175"/>
    <w:rsid w:val="00E11D12"/>
    <w:rsid w:val="00E20175"/>
    <w:rsid w:val="00E24CCA"/>
    <w:rsid w:val="00E41684"/>
    <w:rsid w:val="00E47C88"/>
    <w:rsid w:val="00E61F9F"/>
    <w:rsid w:val="00E65B26"/>
    <w:rsid w:val="00E721A8"/>
    <w:rsid w:val="00E775FB"/>
    <w:rsid w:val="00E81172"/>
    <w:rsid w:val="00E835B8"/>
    <w:rsid w:val="00E86CA8"/>
    <w:rsid w:val="00E90CAF"/>
    <w:rsid w:val="00E94AAC"/>
    <w:rsid w:val="00EA2B25"/>
    <w:rsid w:val="00EB64B9"/>
    <w:rsid w:val="00EC3AC8"/>
    <w:rsid w:val="00EC7019"/>
    <w:rsid w:val="00ED372A"/>
    <w:rsid w:val="00ED3AE3"/>
    <w:rsid w:val="00ED717B"/>
    <w:rsid w:val="00EE2715"/>
    <w:rsid w:val="00EE34E4"/>
    <w:rsid w:val="00EE613D"/>
    <w:rsid w:val="00EF1AE4"/>
    <w:rsid w:val="00EF3F04"/>
    <w:rsid w:val="00EF73CE"/>
    <w:rsid w:val="00F03CF6"/>
    <w:rsid w:val="00F04B92"/>
    <w:rsid w:val="00F130E0"/>
    <w:rsid w:val="00F13AEC"/>
    <w:rsid w:val="00F21DEC"/>
    <w:rsid w:val="00F253EA"/>
    <w:rsid w:val="00F41627"/>
    <w:rsid w:val="00F4185A"/>
    <w:rsid w:val="00F41AF5"/>
    <w:rsid w:val="00F6053C"/>
    <w:rsid w:val="00F7326B"/>
    <w:rsid w:val="00F77D8E"/>
    <w:rsid w:val="00F84416"/>
    <w:rsid w:val="00F87BB6"/>
    <w:rsid w:val="00FA3A1A"/>
    <w:rsid w:val="00FB2589"/>
    <w:rsid w:val="00FC0459"/>
    <w:rsid w:val="00FF7CEC"/>
    <w:rsid w:val="02A9706C"/>
    <w:rsid w:val="044F06A2"/>
    <w:rsid w:val="0664230B"/>
    <w:rsid w:val="06646A88"/>
    <w:rsid w:val="088E0696"/>
    <w:rsid w:val="0A4038E0"/>
    <w:rsid w:val="0A8C26DA"/>
    <w:rsid w:val="0D583AF2"/>
    <w:rsid w:val="0DBA2892"/>
    <w:rsid w:val="0EB062AC"/>
    <w:rsid w:val="0F0A6D3C"/>
    <w:rsid w:val="1030329B"/>
    <w:rsid w:val="10655CF3"/>
    <w:rsid w:val="13EB653A"/>
    <w:rsid w:val="14B8240A"/>
    <w:rsid w:val="14EF0366"/>
    <w:rsid w:val="17E75E45"/>
    <w:rsid w:val="18AB3604"/>
    <w:rsid w:val="19DA1AF8"/>
    <w:rsid w:val="22F8166B"/>
    <w:rsid w:val="24940192"/>
    <w:rsid w:val="26873E45"/>
    <w:rsid w:val="29D56AB0"/>
    <w:rsid w:val="2D036C68"/>
    <w:rsid w:val="2E7F3BD6"/>
    <w:rsid w:val="2EEA2204"/>
    <w:rsid w:val="2F6E12E0"/>
    <w:rsid w:val="30062758"/>
    <w:rsid w:val="30BE1F06"/>
    <w:rsid w:val="362C03EF"/>
    <w:rsid w:val="37B336EE"/>
    <w:rsid w:val="3B425EC8"/>
    <w:rsid w:val="3E0F72E0"/>
    <w:rsid w:val="3E507D4A"/>
    <w:rsid w:val="3EFE1167"/>
    <w:rsid w:val="406E00C4"/>
    <w:rsid w:val="409A440B"/>
    <w:rsid w:val="41321107"/>
    <w:rsid w:val="4221770A"/>
    <w:rsid w:val="4310681A"/>
    <w:rsid w:val="438970F8"/>
    <w:rsid w:val="46F6477A"/>
    <w:rsid w:val="4A244932"/>
    <w:rsid w:val="4D940DD6"/>
    <w:rsid w:val="4E832C5D"/>
    <w:rsid w:val="4F506B2E"/>
    <w:rsid w:val="51F64BF1"/>
    <w:rsid w:val="530B1DCC"/>
    <w:rsid w:val="537D6B7F"/>
    <w:rsid w:val="5597277B"/>
    <w:rsid w:val="560378AC"/>
    <w:rsid w:val="562F3BF3"/>
    <w:rsid w:val="59522196"/>
    <w:rsid w:val="59BE2B4A"/>
    <w:rsid w:val="5A0A51C8"/>
    <w:rsid w:val="5CCC024F"/>
    <w:rsid w:val="5DF247AE"/>
    <w:rsid w:val="60E96A0A"/>
    <w:rsid w:val="61204966"/>
    <w:rsid w:val="62AC3580"/>
    <w:rsid w:val="634A2CF1"/>
    <w:rsid w:val="64837576"/>
    <w:rsid w:val="66616B07"/>
    <w:rsid w:val="68E258A1"/>
    <w:rsid w:val="692E7F1E"/>
    <w:rsid w:val="698F6CBE"/>
    <w:rsid w:val="6ACA31C3"/>
    <w:rsid w:val="6D293FA7"/>
    <w:rsid w:val="6DB7708E"/>
    <w:rsid w:val="6EBB0EBA"/>
    <w:rsid w:val="6EDC6E70"/>
    <w:rsid w:val="720A37A4"/>
    <w:rsid w:val="72C267D6"/>
    <w:rsid w:val="752175BA"/>
    <w:rsid w:val="758F7BEE"/>
    <w:rsid w:val="78BD7DA6"/>
    <w:rsid w:val="791F6B45"/>
    <w:rsid w:val="7A9744E4"/>
    <w:rsid w:val="7BAA3C71"/>
    <w:rsid w:val="7CA377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nhideWhenUsed="0" w:uiPriority="99" w:semiHidden="0" w:name="heading 4"/>
    <w:lsdException w:qFormat="1" w:uiPriority="0" w:name="heading 5" w:locked="1"/>
    <w:lsdException w:qFormat="1" w:uiPriority="0" w:name="heading 6" w:locked="1"/>
    <w:lsdException w:qFormat="1" w:unhideWhenUsed="0" w:uiPriority="99" w:semiHidden="0" w:name="heading 7"/>
    <w:lsdException w:qFormat="1" w:unhideWhenUsed="0" w:uiPriority="99" w:semiHidden="0" w:name="heading 8"/>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qFormat="1" w:unhideWhenUsed="0" w:uiPriority="99"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kern w:val="1"/>
      <w:sz w:val="20"/>
      <w:szCs w:val="20"/>
      <w:lang w:val="ru-RU" w:eastAsia="ar-SA" w:bidi="ar-SA"/>
    </w:rPr>
  </w:style>
  <w:style w:type="paragraph" w:styleId="2">
    <w:name w:val="heading 1"/>
    <w:basedOn w:val="1"/>
    <w:next w:val="3"/>
    <w:link w:val="15"/>
    <w:qFormat/>
    <w:uiPriority w:val="99"/>
    <w:pPr>
      <w:keepNext/>
      <w:numPr>
        <w:ilvl w:val="0"/>
        <w:numId w:val="1"/>
      </w:numPr>
      <w:outlineLvl w:val="0"/>
    </w:pPr>
    <w:rPr>
      <w:rFonts w:ascii="Arial" w:hAnsi="Arial"/>
      <w:sz w:val="24"/>
      <w:lang w:val="en-US"/>
    </w:rPr>
  </w:style>
  <w:style w:type="paragraph" w:styleId="4">
    <w:name w:val="heading 2"/>
    <w:basedOn w:val="1"/>
    <w:next w:val="3"/>
    <w:link w:val="16"/>
    <w:qFormat/>
    <w:uiPriority w:val="99"/>
    <w:pPr>
      <w:keepNext/>
      <w:numPr>
        <w:ilvl w:val="1"/>
        <w:numId w:val="1"/>
      </w:numPr>
      <w:outlineLvl w:val="1"/>
    </w:pPr>
    <w:rPr>
      <w:rFonts w:ascii="Cambria" w:hAnsi="Cambria"/>
      <w:b/>
      <w:bCs/>
      <w:i/>
      <w:iCs/>
      <w:sz w:val="28"/>
      <w:szCs w:val="28"/>
    </w:rPr>
  </w:style>
  <w:style w:type="paragraph" w:styleId="5">
    <w:name w:val="heading 3"/>
    <w:basedOn w:val="1"/>
    <w:next w:val="1"/>
    <w:link w:val="17"/>
    <w:qFormat/>
    <w:locked/>
    <w:uiPriority w:val="99"/>
    <w:pPr>
      <w:keepNext/>
      <w:spacing w:before="240" w:after="60"/>
      <w:outlineLvl w:val="2"/>
    </w:pPr>
    <w:rPr>
      <w:rFonts w:ascii="Cambria" w:hAnsi="Cambria"/>
      <w:b/>
      <w:bCs/>
      <w:sz w:val="26"/>
      <w:szCs w:val="26"/>
    </w:rPr>
  </w:style>
  <w:style w:type="paragraph" w:styleId="6">
    <w:name w:val="heading 4"/>
    <w:basedOn w:val="1"/>
    <w:next w:val="1"/>
    <w:link w:val="18"/>
    <w:qFormat/>
    <w:uiPriority w:val="99"/>
    <w:pPr>
      <w:keepNext/>
      <w:spacing w:before="240" w:after="60"/>
      <w:outlineLvl w:val="3"/>
    </w:pPr>
    <w:rPr>
      <w:b/>
      <w:bCs/>
      <w:sz w:val="28"/>
      <w:szCs w:val="28"/>
    </w:rPr>
  </w:style>
  <w:style w:type="paragraph" w:styleId="7">
    <w:name w:val="heading 7"/>
    <w:basedOn w:val="1"/>
    <w:next w:val="1"/>
    <w:link w:val="19"/>
    <w:qFormat/>
    <w:uiPriority w:val="99"/>
    <w:pPr>
      <w:spacing w:before="240" w:after="60"/>
      <w:outlineLvl w:val="6"/>
    </w:pPr>
    <w:rPr>
      <w:sz w:val="24"/>
      <w:szCs w:val="24"/>
    </w:rPr>
  </w:style>
  <w:style w:type="paragraph" w:styleId="8">
    <w:name w:val="heading 8"/>
    <w:basedOn w:val="1"/>
    <w:next w:val="1"/>
    <w:link w:val="20"/>
    <w:qFormat/>
    <w:uiPriority w:val="99"/>
    <w:pPr>
      <w:spacing w:before="240" w:after="60"/>
      <w:outlineLvl w:val="7"/>
    </w:pPr>
    <w:rPr>
      <w:i/>
      <w:iCs/>
      <w:sz w:val="24"/>
      <w:szCs w:val="24"/>
    </w:rPr>
  </w:style>
  <w:style w:type="character" w:default="1" w:styleId="11">
    <w:name w:val="Default Paragraph Font"/>
    <w:semiHidden/>
    <w:qFormat/>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27"/>
    <w:qFormat/>
    <w:uiPriority w:val="99"/>
    <w:rPr>
      <w:sz w:val="24"/>
    </w:rPr>
  </w:style>
  <w:style w:type="paragraph" w:styleId="9">
    <w:name w:val="Balloon Text"/>
    <w:basedOn w:val="1"/>
    <w:link w:val="31"/>
    <w:semiHidden/>
    <w:qFormat/>
    <w:uiPriority w:val="99"/>
    <w:rPr>
      <w:rFonts w:ascii="Tahoma" w:hAnsi="Tahoma" w:cs="Tahoma"/>
      <w:sz w:val="16"/>
      <w:szCs w:val="16"/>
    </w:rPr>
  </w:style>
  <w:style w:type="paragraph" w:styleId="10">
    <w:name w:val="footer"/>
    <w:basedOn w:val="1"/>
    <w:link w:val="26"/>
    <w:qFormat/>
    <w:uiPriority w:val="99"/>
    <w:pPr>
      <w:suppressLineNumbers/>
      <w:tabs>
        <w:tab w:val="center" w:pos="4153"/>
        <w:tab w:val="right" w:pos="8306"/>
      </w:tabs>
    </w:pPr>
  </w:style>
  <w:style w:type="character" w:styleId="12">
    <w:name w:val="Hyperlink"/>
    <w:basedOn w:val="11"/>
    <w:qFormat/>
    <w:uiPriority w:val="99"/>
    <w:rPr>
      <w:rFonts w:cs="Times New Roman"/>
      <w:color w:val="0000FF"/>
      <w:u w:val="single"/>
    </w:rPr>
  </w:style>
  <w:style w:type="table" w:styleId="14">
    <w:name w:val="Table Classic 1"/>
    <w:basedOn w:val="13"/>
    <w:qFormat/>
    <w:uiPriority w:val="99"/>
    <w:pPr>
      <w:suppressAutoHyphens/>
    </w:pPr>
    <w:rPr>
      <w:sz w:val="20"/>
      <w:szCs w:val="20"/>
    </w:r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rFonts w:cs="Times New Roman"/>
        <w:i/>
        <w:iCs/>
      </w:rPr>
      <w:tblPr>
        <w:tblLayout w:type="fixed"/>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rPr>
      <w:tblPr>
        <w:tblLayout w:type="fixed"/>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character" w:customStyle="1" w:styleId="15">
    <w:name w:val="Heading 1 Char"/>
    <w:basedOn w:val="11"/>
    <w:link w:val="2"/>
    <w:qFormat/>
    <w:locked/>
    <w:uiPriority w:val="99"/>
    <w:rPr>
      <w:rFonts w:ascii="Arial" w:hAnsi="Arial"/>
      <w:kern w:val="1"/>
      <w:sz w:val="24"/>
      <w:lang w:val="en-US" w:eastAsia="ar-SA" w:bidi="ar-SA"/>
    </w:rPr>
  </w:style>
  <w:style w:type="character" w:customStyle="1" w:styleId="16">
    <w:name w:val="Heading 2 Char"/>
    <w:basedOn w:val="11"/>
    <w:link w:val="4"/>
    <w:semiHidden/>
    <w:qFormat/>
    <w:locked/>
    <w:uiPriority w:val="99"/>
    <w:rPr>
      <w:rFonts w:ascii="Cambria" w:hAnsi="Cambria"/>
      <w:b/>
      <w:i/>
      <w:kern w:val="1"/>
      <w:sz w:val="28"/>
      <w:lang w:eastAsia="ar-SA" w:bidi="ar-SA"/>
    </w:rPr>
  </w:style>
  <w:style w:type="character" w:customStyle="1" w:styleId="17">
    <w:name w:val="Heading 3 Char"/>
    <w:basedOn w:val="11"/>
    <w:link w:val="5"/>
    <w:semiHidden/>
    <w:qFormat/>
    <w:locked/>
    <w:uiPriority w:val="99"/>
    <w:rPr>
      <w:rFonts w:ascii="Cambria" w:hAnsi="Cambria"/>
      <w:b/>
      <w:kern w:val="1"/>
      <w:sz w:val="26"/>
      <w:lang w:eastAsia="ar-SA" w:bidi="ar-SA"/>
    </w:rPr>
  </w:style>
  <w:style w:type="character" w:customStyle="1" w:styleId="18">
    <w:name w:val="Heading 4 Char"/>
    <w:basedOn w:val="11"/>
    <w:link w:val="6"/>
    <w:qFormat/>
    <w:locked/>
    <w:uiPriority w:val="99"/>
    <w:rPr>
      <w:b/>
      <w:kern w:val="1"/>
      <w:sz w:val="28"/>
      <w:lang w:val="ru-RU" w:eastAsia="ar-SA" w:bidi="ar-SA"/>
    </w:rPr>
  </w:style>
  <w:style w:type="character" w:customStyle="1" w:styleId="19">
    <w:name w:val="Heading 7 Char"/>
    <w:basedOn w:val="11"/>
    <w:link w:val="7"/>
    <w:qFormat/>
    <w:locked/>
    <w:uiPriority w:val="99"/>
    <w:rPr>
      <w:kern w:val="1"/>
      <w:sz w:val="24"/>
      <w:lang w:val="ru-RU" w:eastAsia="ar-SA" w:bidi="ar-SA"/>
    </w:rPr>
  </w:style>
  <w:style w:type="character" w:customStyle="1" w:styleId="20">
    <w:name w:val="Heading 8 Char"/>
    <w:basedOn w:val="11"/>
    <w:link w:val="8"/>
    <w:qFormat/>
    <w:locked/>
    <w:uiPriority w:val="99"/>
    <w:rPr>
      <w:i/>
      <w:kern w:val="1"/>
      <w:sz w:val="24"/>
      <w:lang w:val="ru-RU" w:eastAsia="ar-SA" w:bidi="ar-SA"/>
    </w:rPr>
  </w:style>
  <w:style w:type="character" w:customStyle="1" w:styleId="21">
    <w:name w:val="short_text"/>
    <w:qFormat/>
    <w:uiPriority w:val="99"/>
  </w:style>
  <w:style w:type="character" w:customStyle="1" w:styleId="22">
    <w:name w:val="hps atn"/>
    <w:qFormat/>
    <w:uiPriority w:val="99"/>
  </w:style>
  <w:style w:type="character" w:customStyle="1" w:styleId="23">
    <w:name w:val="Footer Char"/>
    <w:link w:val="10"/>
    <w:qFormat/>
    <w:locked/>
    <w:uiPriority w:val="99"/>
    <w:rPr>
      <w:kern w:val="1"/>
      <w:lang w:val="ru-RU" w:eastAsia="ar-SA" w:bidi="ar-SA"/>
    </w:rPr>
  </w:style>
  <w:style w:type="character" w:customStyle="1" w:styleId="24">
    <w:name w:val="apple-converted-space"/>
    <w:basedOn w:val="11"/>
    <w:qFormat/>
    <w:uiPriority w:val="99"/>
    <w:rPr>
      <w:rFonts w:cs="Times New Roman"/>
    </w:rPr>
  </w:style>
  <w:style w:type="character" w:customStyle="1" w:styleId="25">
    <w:name w:val="Body Text Char"/>
    <w:link w:val="3"/>
    <w:qFormat/>
    <w:locked/>
    <w:uiPriority w:val="99"/>
    <w:rPr>
      <w:kern w:val="1"/>
      <w:sz w:val="24"/>
      <w:lang w:val="ru-RU" w:eastAsia="ar-SA" w:bidi="ar-SA"/>
    </w:rPr>
  </w:style>
  <w:style w:type="character" w:customStyle="1" w:styleId="26">
    <w:name w:val="Footer Char1"/>
    <w:basedOn w:val="11"/>
    <w:link w:val="10"/>
    <w:semiHidden/>
    <w:qFormat/>
    <w:uiPriority w:val="99"/>
    <w:rPr>
      <w:kern w:val="1"/>
      <w:sz w:val="20"/>
      <w:szCs w:val="20"/>
      <w:lang w:eastAsia="ar-SA"/>
    </w:rPr>
  </w:style>
  <w:style w:type="character" w:customStyle="1" w:styleId="27">
    <w:name w:val="Body Text Char1"/>
    <w:basedOn w:val="11"/>
    <w:link w:val="3"/>
    <w:semiHidden/>
    <w:qFormat/>
    <w:uiPriority w:val="99"/>
    <w:rPr>
      <w:kern w:val="1"/>
      <w:sz w:val="20"/>
      <w:szCs w:val="20"/>
      <w:lang w:eastAsia="ar-SA"/>
    </w:rPr>
  </w:style>
  <w:style w:type="paragraph" w:customStyle="1" w:styleId="28">
    <w:name w:val="xl22"/>
    <w:basedOn w:val="1"/>
    <w:qFormat/>
    <w:uiPriority w:val="99"/>
    <w:pPr>
      <w:suppressAutoHyphens w:val="0"/>
      <w:spacing w:before="100" w:after="100"/>
    </w:pPr>
    <w:rPr>
      <w:rFonts w:ascii="Arial Unicode MS"/>
      <w:kern w:val="0"/>
      <w:sz w:val="24"/>
      <w:lang w:val="en-US" w:eastAsia="ru-RU"/>
    </w:rPr>
  </w:style>
  <w:style w:type="paragraph" w:customStyle="1" w:styleId="29">
    <w:name w:val="Texto independiente 21"/>
    <w:basedOn w:val="1"/>
    <w:qFormat/>
    <w:uiPriority w:val="99"/>
    <w:rPr>
      <w:b/>
      <w:sz w:val="24"/>
    </w:rPr>
  </w:style>
  <w:style w:type="paragraph" w:styleId="30">
    <w:name w:val="List Paragraph"/>
    <w:basedOn w:val="1"/>
    <w:qFormat/>
    <w:uiPriority w:val="99"/>
    <w:pPr>
      <w:suppressAutoHyphens w:val="0"/>
      <w:spacing w:after="200" w:line="276" w:lineRule="auto"/>
      <w:ind w:left="720"/>
      <w:contextualSpacing/>
    </w:pPr>
    <w:rPr>
      <w:rFonts w:ascii="Calibri" w:hAnsi="Calibri"/>
      <w:kern w:val="0"/>
      <w:sz w:val="22"/>
      <w:szCs w:val="22"/>
      <w:lang w:eastAsia="en-US"/>
    </w:rPr>
  </w:style>
  <w:style w:type="character" w:customStyle="1" w:styleId="31">
    <w:name w:val="Balloon Text Char"/>
    <w:basedOn w:val="11"/>
    <w:link w:val="9"/>
    <w:semiHidden/>
    <w:qFormat/>
    <w:locked/>
    <w:uiPriority w:val="99"/>
    <w:rPr>
      <w:rFonts w:ascii="Tahoma" w:hAnsi="Tahoma" w:cs="Tahoma"/>
      <w:kern w:val="1"/>
      <w:sz w:val="16"/>
      <w:szCs w:val="16"/>
      <w:lang w:eastAsia="ar-S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7</Pages>
  <Words>2936</Words>
  <Characters>16741</Characters>
  <Lines>0</Lines>
  <Paragraphs>0</Paragraphs>
  <TotalTime>0</TotalTime>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2017-01-31T10:43:00Z</dcterms:created>
  <dc:creator>kalinin</dc:creator>
  <cp:lastModifiedBy>1</cp:lastModifiedBy>
  <cp:lastPrinted>2016-12-16T07:50:00Z</cp:lastPrinted>
  <dcterms:modified xsi:type="dcterms:W3CDTF">2018-05-26T11:49:15Z</dcterms:modified>
  <dc:title>Контракт №  01/2012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